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6912B">
      <w:pPr>
        <w:jc w:val="center"/>
        <w:rPr>
          <w:rFonts w:ascii="微软雅黑" w:hAnsi="微软雅黑" w:cs="微软雅黑"/>
          <w:bCs/>
          <w:sz w:val="52"/>
          <w:szCs w:val="52"/>
        </w:rPr>
      </w:pPr>
    </w:p>
    <w:p w14:paraId="0CA3EFBE">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海州区中介超市服务管理平台</w:t>
      </w:r>
    </w:p>
    <w:p w14:paraId="09F816CC">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系统操作手册</w:t>
      </w:r>
    </w:p>
    <w:p w14:paraId="6AC56531">
      <w:pPr>
        <w:jc w:val="center"/>
        <w:rPr>
          <w:rFonts w:cs="微软雅黑" w:asciiTheme="majorEastAsia" w:hAnsiTheme="majorEastAsia" w:eastAsiaTheme="majorEastAsia"/>
          <w:b/>
          <w:sz w:val="42"/>
          <w:szCs w:val="42"/>
        </w:rPr>
      </w:pPr>
      <w:r>
        <w:rPr>
          <w:rFonts w:hint="eastAsia" w:cs="微软雅黑" w:asciiTheme="majorEastAsia" w:hAnsiTheme="majorEastAsia" w:eastAsiaTheme="majorEastAsia"/>
          <w:b/>
          <w:sz w:val="42"/>
          <w:szCs w:val="42"/>
        </w:rPr>
        <w:t>（项目业主版）</w:t>
      </w:r>
    </w:p>
    <w:p w14:paraId="77E090B1">
      <w:pPr>
        <w:jc w:val="center"/>
        <w:rPr>
          <w:rFonts w:ascii="微软雅黑" w:hAnsi="微软雅黑" w:cs="微软雅黑"/>
          <w:bCs/>
          <w:sz w:val="32"/>
          <w:szCs w:val="32"/>
        </w:rPr>
      </w:pPr>
    </w:p>
    <w:p w14:paraId="00CFF654">
      <w:pPr>
        <w:jc w:val="center"/>
        <w:rPr>
          <w:rFonts w:ascii="微软雅黑" w:hAnsi="微软雅黑" w:cs="微软雅黑"/>
          <w:bCs/>
          <w:sz w:val="32"/>
          <w:szCs w:val="32"/>
        </w:rPr>
      </w:pPr>
    </w:p>
    <w:p w14:paraId="4CA22882">
      <w:pPr>
        <w:jc w:val="center"/>
        <w:rPr>
          <w:rFonts w:ascii="微软雅黑" w:hAnsi="微软雅黑" w:cs="微软雅黑"/>
          <w:bCs/>
          <w:sz w:val="32"/>
          <w:szCs w:val="32"/>
        </w:rPr>
      </w:pPr>
    </w:p>
    <w:p w14:paraId="3E849F0B">
      <w:pPr>
        <w:jc w:val="center"/>
        <w:rPr>
          <w:rFonts w:ascii="微软雅黑" w:hAnsi="微软雅黑" w:cs="微软雅黑"/>
          <w:bCs/>
          <w:sz w:val="32"/>
          <w:szCs w:val="32"/>
        </w:rPr>
      </w:pPr>
    </w:p>
    <w:p w14:paraId="4972940C">
      <w:pPr>
        <w:jc w:val="center"/>
        <w:rPr>
          <w:rFonts w:ascii="微软雅黑" w:hAnsi="微软雅黑" w:cs="微软雅黑"/>
          <w:bCs/>
          <w:sz w:val="32"/>
          <w:szCs w:val="32"/>
        </w:rPr>
      </w:pPr>
    </w:p>
    <w:p w14:paraId="1B033DB0">
      <w:pPr>
        <w:jc w:val="center"/>
        <w:rPr>
          <w:rFonts w:ascii="微软雅黑" w:hAnsi="微软雅黑" w:cs="微软雅黑"/>
          <w:bCs/>
          <w:sz w:val="32"/>
          <w:szCs w:val="32"/>
        </w:rPr>
      </w:pPr>
    </w:p>
    <w:p w14:paraId="58F2A387">
      <w:pPr>
        <w:jc w:val="center"/>
        <w:rPr>
          <w:rFonts w:ascii="微软雅黑" w:hAnsi="微软雅黑" w:cs="微软雅黑"/>
          <w:bCs/>
          <w:sz w:val="32"/>
          <w:szCs w:val="32"/>
        </w:rPr>
      </w:pPr>
    </w:p>
    <w:p w14:paraId="53D1DF3A">
      <w:pPr>
        <w:jc w:val="center"/>
        <w:rPr>
          <w:rFonts w:ascii="微软雅黑" w:hAnsi="微软雅黑" w:cs="微软雅黑"/>
          <w:bCs/>
          <w:sz w:val="32"/>
          <w:szCs w:val="32"/>
        </w:rPr>
      </w:pPr>
    </w:p>
    <w:p w14:paraId="58E49E21">
      <w:pPr>
        <w:jc w:val="center"/>
        <w:rPr>
          <w:rFonts w:ascii="微软雅黑" w:hAnsi="微软雅黑" w:cs="微软雅黑"/>
          <w:bCs/>
          <w:sz w:val="32"/>
          <w:szCs w:val="32"/>
        </w:rPr>
      </w:pPr>
    </w:p>
    <w:p w14:paraId="3A585189">
      <w:pPr>
        <w:jc w:val="center"/>
        <w:rPr>
          <w:rFonts w:ascii="微软雅黑" w:hAnsi="微软雅黑" w:cs="微软雅黑"/>
          <w:bCs/>
          <w:sz w:val="32"/>
          <w:szCs w:val="32"/>
        </w:rPr>
      </w:pPr>
    </w:p>
    <w:p w14:paraId="48660DAB">
      <w:pPr>
        <w:jc w:val="center"/>
        <w:rPr>
          <w:rFonts w:ascii="微软雅黑" w:hAnsi="微软雅黑" w:cs="微软雅黑"/>
          <w:bCs/>
          <w:sz w:val="32"/>
          <w:szCs w:val="32"/>
        </w:rPr>
      </w:pPr>
    </w:p>
    <w:p w14:paraId="3BD9CAD7">
      <w:pPr>
        <w:jc w:val="center"/>
        <w:rPr>
          <w:rFonts w:ascii="微软雅黑" w:hAnsi="微软雅黑" w:cs="微软雅黑"/>
          <w:bCs/>
          <w:sz w:val="32"/>
          <w:szCs w:val="32"/>
        </w:rPr>
      </w:pPr>
    </w:p>
    <w:p w14:paraId="6337A297">
      <w:pPr>
        <w:jc w:val="center"/>
        <w:rPr>
          <w:rFonts w:ascii="微软雅黑" w:hAnsi="微软雅黑" w:cs="微软雅黑"/>
          <w:bCs/>
          <w:sz w:val="32"/>
          <w:szCs w:val="32"/>
        </w:rPr>
      </w:pPr>
    </w:p>
    <w:p w14:paraId="71261B7A">
      <w:pPr>
        <w:jc w:val="center"/>
        <w:rPr>
          <w:rFonts w:ascii="微软雅黑" w:hAnsi="微软雅黑" w:cs="微软雅黑"/>
          <w:bCs/>
          <w:sz w:val="32"/>
          <w:szCs w:val="32"/>
        </w:rPr>
      </w:pPr>
    </w:p>
    <w:p w14:paraId="0FA5D9A7">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连云港市数字产业投资发展有限公司</w:t>
      </w:r>
    </w:p>
    <w:p w14:paraId="750C8740">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2023年7月</w:t>
      </w:r>
    </w:p>
    <w:p w14:paraId="1D2235BD">
      <w:pPr>
        <w:jc w:val="center"/>
        <w:rPr>
          <w:rFonts w:ascii="宋体" w:hAnsi="宋体" w:eastAsia="宋体"/>
          <w:sz w:val="21"/>
        </w:rPr>
        <w:sectPr>
          <w:pgSz w:w="11906" w:h="16838"/>
          <w:pgMar w:top="850" w:right="1134" w:bottom="850" w:left="1134" w:header="851" w:footer="992" w:gutter="0"/>
          <w:pgNumType w:start="1"/>
          <w:cols w:space="425" w:num="1"/>
          <w:docGrid w:type="lines" w:linePitch="312" w:charSpace="0"/>
        </w:sectPr>
      </w:pPr>
    </w:p>
    <w:sdt>
      <w:sdtPr>
        <w:rPr>
          <w:rFonts w:ascii="宋体" w:hAnsi="宋体" w:eastAsia="宋体"/>
          <w:sz w:val="21"/>
        </w:rPr>
        <w:id w:val="147476719"/>
        <w15:color w:val="DBDBDB"/>
        <w:docPartObj>
          <w:docPartGallery w:val="Table of Contents"/>
          <w:docPartUnique/>
        </w:docPartObj>
      </w:sdtPr>
      <w:sdtEndPr>
        <w:rPr>
          <w:rFonts w:ascii="宋体" w:hAnsi="宋体" w:eastAsia="宋体"/>
          <w:sz w:val="21"/>
        </w:rPr>
      </w:sdtEndPr>
      <w:sdtContent>
        <w:p w14:paraId="4CD95C78">
          <w:pPr>
            <w:jc w:val="center"/>
            <w:rPr>
              <w:sz w:val="28"/>
              <w:szCs w:val="28"/>
            </w:rPr>
          </w:pPr>
          <w:r>
            <w:rPr>
              <w:rFonts w:ascii="宋体" w:hAnsi="宋体" w:eastAsia="宋体"/>
              <w:sz w:val="28"/>
              <w:szCs w:val="28"/>
            </w:rPr>
            <w:t>目录</w:t>
          </w:r>
        </w:p>
        <w:p w14:paraId="4D64E6DE">
          <w:pPr>
            <w:pStyle w:val="4"/>
            <w:tabs>
              <w:tab w:val="right" w:leader="dot" w:pos="9638"/>
            </w:tabs>
          </w:pPr>
          <w:r>
            <w:fldChar w:fldCharType="begin"/>
          </w:r>
          <w:r>
            <w:instrText xml:space="preserve">TOC \o "1-1" \h \u </w:instrText>
          </w:r>
          <w:r>
            <w:fldChar w:fldCharType="separate"/>
          </w:r>
          <w:r>
            <w:fldChar w:fldCharType="begin"/>
          </w:r>
          <w:r>
            <w:instrText xml:space="preserve"> HYPERLINK \l "_Toc7474" </w:instrText>
          </w:r>
          <w:r>
            <w:fldChar w:fldCharType="separate"/>
          </w:r>
          <w:r>
            <w:rPr>
              <w:rFonts w:hint="eastAsia" w:ascii="微软雅黑" w:hAnsi="微软雅黑" w:cs="微软雅黑"/>
              <w:szCs w:val="36"/>
            </w:rPr>
            <w:t>1、适用范围</w:t>
          </w:r>
          <w:r>
            <w:tab/>
          </w:r>
          <w:r>
            <w:fldChar w:fldCharType="begin"/>
          </w:r>
          <w:r>
            <w:instrText xml:space="preserve"> PAGEREF _Toc7474 \h </w:instrText>
          </w:r>
          <w:r>
            <w:fldChar w:fldCharType="separate"/>
          </w:r>
          <w:r>
            <w:t>1</w:t>
          </w:r>
          <w:r>
            <w:fldChar w:fldCharType="end"/>
          </w:r>
          <w:r>
            <w:fldChar w:fldCharType="end"/>
          </w:r>
        </w:p>
        <w:p w14:paraId="57316D6A">
          <w:pPr>
            <w:pStyle w:val="4"/>
            <w:tabs>
              <w:tab w:val="right" w:leader="dot" w:pos="9638"/>
            </w:tabs>
          </w:pPr>
          <w:r>
            <w:fldChar w:fldCharType="begin"/>
          </w:r>
          <w:r>
            <w:instrText xml:space="preserve"> HYPERLINK \l "_Toc1505" </w:instrText>
          </w:r>
          <w:r>
            <w:fldChar w:fldCharType="separate"/>
          </w:r>
          <w:r>
            <w:rPr>
              <w:rFonts w:hint="eastAsia" w:ascii="微软雅黑" w:hAnsi="微软雅黑" w:cs="微软雅黑"/>
              <w:szCs w:val="36"/>
            </w:rPr>
            <w:t>2、项目业主注册</w:t>
          </w:r>
          <w:r>
            <w:tab/>
          </w:r>
          <w:r>
            <w:fldChar w:fldCharType="begin"/>
          </w:r>
          <w:r>
            <w:instrText xml:space="preserve"> PAGEREF _Toc1505 \h </w:instrText>
          </w:r>
          <w:r>
            <w:fldChar w:fldCharType="separate"/>
          </w:r>
          <w:r>
            <w:t>1</w:t>
          </w:r>
          <w:r>
            <w:fldChar w:fldCharType="end"/>
          </w:r>
          <w:r>
            <w:fldChar w:fldCharType="end"/>
          </w:r>
        </w:p>
        <w:p w14:paraId="3104EFD8">
          <w:pPr>
            <w:pStyle w:val="4"/>
            <w:tabs>
              <w:tab w:val="right" w:leader="dot" w:pos="9638"/>
            </w:tabs>
          </w:pPr>
          <w:r>
            <w:fldChar w:fldCharType="begin"/>
          </w:r>
          <w:r>
            <w:instrText xml:space="preserve"> HYPERLINK \l "_Toc884" </w:instrText>
          </w:r>
          <w:r>
            <w:fldChar w:fldCharType="separate"/>
          </w:r>
          <w:r>
            <w:rPr>
              <w:rFonts w:hint="eastAsia" w:ascii="微软雅黑" w:hAnsi="微软雅黑" w:cs="微软雅黑"/>
              <w:szCs w:val="36"/>
            </w:rPr>
            <w:t>3、项目业主登录</w:t>
          </w:r>
          <w:r>
            <w:tab/>
          </w:r>
          <w:r>
            <w:fldChar w:fldCharType="begin"/>
          </w:r>
          <w:r>
            <w:instrText xml:space="preserve"> PAGEREF _Toc884 \h </w:instrText>
          </w:r>
          <w:r>
            <w:fldChar w:fldCharType="separate"/>
          </w:r>
          <w:r>
            <w:t>2</w:t>
          </w:r>
          <w:r>
            <w:fldChar w:fldCharType="end"/>
          </w:r>
          <w:r>
            <w:fldChar w:fldCharType="end"/>
          </w:r>
        </w:p>
        <w:p w14:paraId="3AB30A34">
          <w:pPr>
            <w:pStyle w:val="4"/>
            <w:tabs>
              <w:tab w:val="right" w:leader="dot" w:pos="9638"/>
            </w:tabs>
          </w:pPr>
          <w:r>
            <w:fldChar w:fldCharType="begin"/>
          </w:r>
          <w:r>
            <w:instrText xml:space="preserve"> HYPERLINK \l "_Toc21574" </w:instrText>
          </w:r>
          <w:r>
            <w:fldChar w:fldCharType="separate"/>
          </w:r>
          <w:r>
            <w:rPr>
              <w:rFonts w:hint="eastAsia" w:ascii="微软雅黑" w:hAnsi="微软雅黑" w:cs="微软雅黑"/>
              <w:szCs w:val="36"/>
            </w:rPr>
            <w:t>4、找回用户名/密码</w:t>
          </w:r>
          <w:r>
            <w:tab/>
          </w:r>
          <w:r>
            <w:fldChar w:fldCharType="begin"/>
          </w:r>
          <w:r>
            <w:instrText xml:space="preserve"> PAGEREF _Toc21574 \h </w:instrText>
          </w:r>
          <w:r>
            <w:fldChar w:fldCharType="separate"/>
          </w:r>
          <w:r>
            <w:t>2</w:t>
          </w:r>
          <w:r>
            <w:fldChar w:fldCharType="end"/>
          </w:r>
          <w:r>
            <w:fldChar w:fldCharType="end"/>
          </w:r>
        </w:p>
        <w:p w14:paraId="5C202F63">
          <w:pPr>
            <w:pStyle w:val="4"/>
            <w:tabs>
              <w:tab w:val="right" w:leader="dot" w:pos="9638"/>
            </w:tabs>
          </w:pPr>
          <w:r>
            <w:fldChar w:fldCharType="begin"/>
          </w:r>
          <w:r>
            <w:instrText xml:space="preserve"> HYPERLINK \l "_Toc29660" </w:instrText>
          </w:r>
          <w:r>
            <w:fldChar w:fldCharType="separate"/>
          </w:r>
          <w:r>
            <w:rPr>
              <w:rFonts w:hint="eastAsia" w:ascii="微软雅黑" w:hAnsi="微软雅黑" w:cs="微软雅黑"/>
              <w:szCs w:val="36"/>
            </w:rPr>
            <w:t>5、完善业主主体信息</w:t>
          </w:r>
          <w:r>
            <w:tab/>
          </w:r>
          <w:r>
            <w:fldChar w:fldCharType="begin"/>
          </w:r>
          <w:r>
            <w:instrText xml:space="preserve"> PAGEREF _Toc29660 \h </w:instrText>
          </w:r>
          <w:r>
            <w:fldChar w:fldCharType="separate"/>
          </w:r>
          <w:r>
            <w:t>3</w:t>
          </w:r>
          <w:r>
            <w:fldChar w:fldCharType="end"/>
          </w:r>
          <w:r>
            <w:fldChar w:fldCharType="end"/>
          </w:r>
        </w:p>
        <w:p w14:paraId="3E1014FD">
          <w:pPr>
            <w:pStyle w:val="4"/>
            <w:tabs>
              <w:tab w:val="right" w:leader="dot" w:pos="9638"/>
            </w:tabs>
          </w:pPr>
          <w:r>
            <w:fldChar w:fldCharType="begin"/>
          </w:r>
          <w:r>
            <w:instrText xml:space="preserve"> HYPERLINK \l "_Toc21223" </w:instrText>
          </w:r>
          <w:r>
            <w:fldChar w:fldCharType="separate"/>
          </w:r>
          <w:r>
            <w:rPr>
              <w:rFonts w:hint="eastAsia" w:ascii="微软雅黑" w:hAnsi="微软雅黑" w:cs="微软雅黑"/>
              <w:szCs w:val="36"/>
            </w:rPr>
            <w:t>6、项目业主管理平台操作界面</w:t>
          </w:r>
          <w:r>
            <w:tab/>
          </w:r>
          <w:r>
            <w:fldChar w:fldCharType="begin"/>
          </w:r>
          <w:r>
            <w:instrText xml:space="preserve"> PAGEREF _Toc21223 \h </w:instrText>
          </w:r>
          <w:r>
            <w:fldChar w:fldCharType="separate"/>
          </w:r>
          <w:r>
            <w:t>4</w:t>
          </w:r>
          <w:r>
            <w:fldChar w:fldCharType="end"/>
          </w:r>
          <w:r>
            <w:fldChar w:fldCharType="end"/>
          </w:r>
        </w:p>
        <w:p w14:paraId="71F66A17">
          <w:pPr>
            <w:pStyle w:val="4"/>
            <w:tabs>
              <w:tab w:val="right" w:leader="dot" w:pos="9638"/>
            </w:tabs>
          </w:pPr>
          <w:r>
            <w:fldChar w:fldCharType="begin"/>
          </w:r>
          <w:r>
            <w:instrText xml:space="preserve"> HYPERLINK \l "_Toc24724" </w:instrText>
          </w:r>
          <w:r>
            <w:fldChar w:fldCharType="separate"/>
          </w:r>
          <w:r>
            <w:rPr>
              <w:rFonts w:hint="eastAsia" w:ascii="微软雅黑" w:hAnsi="微软雅黑" w:cs="微软雅黑"/>
              <w:szCs w:val="36"/>
            </w:rPr>
            <w:t>7、项目采购流程</w:t>
          </w:r>
          <w:r>
            <w:tab/>
          </w:r>
          <w:r>
            <w:fldChar w:fldCharType="begin"/>
          </w:r>
          <w:r>
            <w:instrText xml:space="preserve"> PAGEREF _Toc24724 \h </w:instrText>
          </w:r>
          <w:r>
            <w:fldChar w:fldCharType="separate"/>
          </w:r>
          <w:r>
            <w:t>4</w:t>
          </w:r>
          <w:r>
            <w:fldChar w:fldCharType="end"/>
          </w:r>
          <w:r>
            <w:fldChar w:fldCharType="end"/>
          </w:r>
        </w:p>
        <w:p w14:paraId="2DE4554C">
          <w:pPr>
            <w:pStyle w:val="4"/>
            <w:tabs>
              <w:tab w:val="right" w:leader="dot" w:pos="9638"/>
            </w:tabs>
          </w:pPr>
          <w:r>
            <w:fldChar w:fldCharType="begin"/>
          </w:r>
          <w:r>
            <w:instrText xml:space="preserve"> HYPERLINK \l "_Toc19089" </w:instrText>
          </w:r>
          <w:r>
            <w:fldChar w:fldCharType="separate"/>
          </w:r>
          <w:r>
            <w:rPr>
              <w:rFonts w:hint="eastAsia" w:ascii="微软雅黑" w:hAnsi="微软雅黑" w:cs="微软雅黑"/>
              <w:szCs w:val="36"/>
            </w:rPr>
            <w:t>8、填写项目采购需求</w:t>
          </w:r>
          <w:r>
            <w:tab/>
          </w:r>
          <w:r>
            <w:fldChar w:fldCharType="begin"/>
          </w:r>
          <w:r>
            <w:instrText xml:space="preserve"> PAGEREF _Toc19089 \h </w:instrText>
          </w:r>
          <w:r>
            <w:fldChar w:fldCharType="separate"/>
          </w:r>
          <w:r>
            <w:t>5</w:t>
          </w:r>
          <w:r>
            <w:fldChar w:fldCharType="end"/>
          </w:r>
          <w:r>
            <w:fldChar w:fldCharType="end"/>
          </w:r>
        </w:p>
        <w:p w14:paraId="4836E67A">
          <w:pPr>
            <w:pStyle w:val="4"/>
            <w:tabs>
              <w:tab w:val="right" w:leader="dot" w:pos="9638"/>
            </w:tabs>
          </w:pPr>
          <w:r>
            <w:fldChar w:fldCharType="begin"/>
          </w:r>
          <w:r>
            <w:instrText xml:space="preserve"> HYPERLINK \l "_Toc22843" </w:instrText>
          </w:r>
          <w:r>
            <w:fldChar w:fldCharType="separate"/>
          </w:r>
          <w:r>
            <w:rPr>
              <w:rFonts w:hint="eastAsia" w:ascii="微软雅黑" w:hAnsi="微软雅黑" w:cs="微软雅黑"/>
              <w:szCs w:val="36"/>
            </w:rPr>
            <w:t>9、项目审核报送</w:t>
          </w:r>
          <w:r>
            <w:tab/>
          </w:r>
          <w:r>
            <w:fldChar w:fldCharType="begin"/>
          </w:r>
          <w:r>
            <w:instrText xml:space="preserve"> PAGEREF _Toc22843 \h </w:instrText>
          </w:r>
          <w:r>
            <w:fldChar w:fldCharType="separate"/>
          </w:r>
          <w:r>
            <w:t>9</w:t>
          </w:r>
          <w:r>
            <w:fldChar w:fldCharType="end"/>
          </w:r>
          <w:r>
            <w:fldChar w:fldCharType="end"/>
          </w:r>
        </w:p>
        <w:p w14:paraId="104E13B9">
          <w:pPr>
            <w:pStyle w:val="4"/>
            <w:tabs>
              <w:tab w:val="right" w:leader="dot" w:pos="9638"/>
            </w:tabs>
          </w:pPr>
          <w:r>
            <w:fldChar w:fldCharType="begin"/>
          </w:r>
          <w:r>
            <w:instrText xml:space="preserve"> HYPERLINK \l "_Toc30287" </w:instrText>
          </w:r>
          <w:r>
            <w:fldChar w:fldCharType="separate"/>
          </w:r>
          <w:r>
            <w:rPr>
              <w:rFonts w:hint="eastAsia" w:ascii="微软雅黑" w:hAnsi="微软雅黑" w:cs="微软雅黑"/>
              <w:szCs w:val="36"/>
            </w:rPr>
            <w:t>10、审核报名机构</w:t>
          </w:r>
          <w:r>
            <w:tab/>
          </w:r>
          <w:r>
            <w:fldChar w:fldCharType="begin"/>
          </w:r>
          <w:r>
            <w:instrText xml:space="preserve"> PAGEREF _Toc30287 \h </w:instrText>
          </w:r>
          <w:r>
            <w:fldChar w:fldCharType="separate"/>
          </w:r>
          <w:r>
            <w:t>10</w:t>
          </w:r>
          <w:r>
            <w:fldChar w:fldCharType="end"/>
          </w:r>
          <w:r>
            <w:fldChar w:fldCharType="end"/>
          </w:r>
        </w:p>
        <w:p w14:paraId="53E11B83">
          <w:pPr>
            <w:pStyle w:val="4"/>
            <w:tabs>
              <w:tab w:val="right" w:leader="dot" w:pos="9638"/>
            </w:tabs>
          </w:pPr>
          <w:r>
            <w:fldChar w:fldCharType="begin"/>
          </w:r>
          <w:r>
            <w:instrText xml:space="preserve"> HYPERLINK \l "_Toc30473" </w:instrText>
          </w:r>
          <w:r>
            <w:fldChar w:fldCharType="separate"/>
          </w:r>
          <w:r>
            <w:rPr>
              <w:rFonts w:hint="eastAsia" w:ascii="微软雅黑" w:hAnsi="微软雅黑" w:cs="微软雅黑"/>
              <w:szCs w:val="36"/>
            </w:rPr>
            <w:t>11、竞价室查看</w:t>
          </w:r>
          <w:r>
            <w:tab/>
          </w:r>
          <w:r>
            <w:fldChar w:fldCharType="begin"/>
          </w:r>
          <w:r>
            <w:instrText xml:space="preserve"> PAGEREF _Toc30473 \h </w:instrText>
          </w:r>
          <w:r>
            <w:fldChar w:fldCharType="separate"/>
          </w:r>
          <w:r>
            <w:t>11</w:t>
          </w:r>
          <w:r>
            <w:fldChar w:fldCharType="end"/>
          </w:r>
          <w:r>
            <w:fldChar w:fldCharType="end"/>
          </w:r>
        </w:p>
        <w:p w14:paraId="0EB07B6E">
          <w:pPr>
            <w:pStyle w:val="4"/>
            <w:tabs>
              <w:tab w:val="right" w:leader="dot" w:pos="9638"/>
            </w:tabs>
          </w:pPr>
          <w:r>
            <w:fldChar w:fldCharType="begin"/>
          </w:r>
          <w:r>
            <w:instrText xml:space="preserve"> HYPERLINK \l "_Toc4968" </w:instrText>
          </w:r>
          <w:r>
            <w:fldChar w:fldCharType="separate"/>
          </w:r>
          <w:r>
            <w:rPr>
              <w:rFonts w:hint="eastAsia" w:ascii="微软雅黑" w:hAnsi="微软雅黑" w:cs="微软雅黑"/>
              <w:szCs w:val="36"/>
            </w:rPr>
            <w:t>12、随机选取中介机构</w:t>
          </w:r>
          <w:r>
            <w:tab/>
          </w:r>
          <w:r>
            <w:fldChar w:fldCharType="begin"/>
          </w:r>
          <w:r>
            <w:instrText xml:space="preserve"> PAGEREF _Toc4968 \h </w:instrText>
          </w:r>
          <w:r>
            <w:fldChar w:fldCharType="separate"/>
          </w:r>
          <w:r>
            <w:t>11</w:t>
          </w:r>
          <w:r>
            <w:fldChar w:fldCharType="end"/>
          </w:r>
          <w:r>
            <w:fldChar w:fldCharType="end"/>
          </w:r>
        </w:p>
        <w:p w14:paraId="4532601A">
          <w:pPr>
            <w:pStyle w:val="4"/>
            <w:tabs>
              <w:tab w:val="right" w:leader="dot" w:pos="9638"/>
            </w:tabs>
          </w:pPr>
          <w:r>
            <w:fldChar w:fldCharType="begin"/>
          </w:r>
          <w:r>
            <w:instrText xml:space="preserve"> HYPERLINK \l "_Toc12120" </w:instrText>
          </w:r>
          <w:r>
            <w:fldChar w:fldCharType="separate"/>
          </w:r>
          <w:r>
            <w:rPr>
              <w:rFonts w:hint="eastAsia" w:ascii="微软雅黑" w:hAnsi="微软雅黑" w:cs="微软雅黑"/>
              <w:szCs w:val="36"/>
            </w:rPr>
            <w:t>13、择优选取中介机构</w:t>
          </w:r>
          <w:r>
            <w:tab/>
          </w:r>
          <w:r>
            <w:fldChar w:fldCharType="begin"/>
          </w:r>
          <w:r>
            <w:instrText xml:space="preserve"> PAGEREF _Toc12120 \h </w:instrText>
          </w:r>
          <w:r>
            <w:fldChar w:fldCharType="separate"/>
          </w:r>
          <w:r>
            <w:t>13</w:t>
          </w:r>
          <w:r>
            <w:fldChar w:fldCharType="end"/>
          </w:r>
          <w:r>
            <w:fldChar w:fldCharType="end"/>
          </w:r>
        </w:p>
        <w:p w14:paraId="6BCF670F">
          <w:pPr>
            <w:pStyle w:val="4"/>
            <w:tabs>
              <w:tab w:val="right" w:leader="dot" w:pos="9638"/>
            </w:tabs>
          </w:pPr>
          <w:r>
            <w:fldChar w:fldCharType="begin"/>
          </w:r>
          <w:r>
            <w:instrText xml:space="preserve"> HYPERLINK \l "_Toc25166" </w:instrText>
          </w:r>
          <w:r>
            <w:fldChar w:fldCharType="separate"/>
          </w:r>
          <w:r>
            <w:rPr>
              <w:rFonts w:hint="eastAsia" w:ascii="微软雅黑" w:hAnsi="微软雅黑" w:cs="微软雅黑"/>
              <w:szCs w:val="36"/>
            </w:rPr>
            <w:t>14、直接选取中介机构</w:t>
          </w:r>
          <w:r>
            <w:tab/>
          </w:r>
          <w:r>
            <w:fldChar w:fldCharType="begin"/>
          </w:r>
          <w:r>
            <w:instrText xml:space="preserve"> PAGEREF _Toc25166 \h </w:instrText>
          </w:r>
          <w:r>
            <w:fldChar w:fldCharType="separate"/>
          </w:r>
          <w:r>
            <w:t>14</w:t>
          </w:r>
          <w:r>
            <w:fldChar w:fldCharType="end"/>
          </w:r>
          <w:r>
            <w:fldChar w:fldCharType="end"/>
          </w:r>
        </w:p>
        <w:p w14:paraId="40F8C8E1">
          <w:pPr>
            <w:pStyle w:val="4"/>
            <w:tabs>
              <w:tab w:val="right" w:leader="dot" w:pos="9638"/>
            </w:tabs>
          </w:pPr>
          <w:r>
            <w:fldChar w:fldCharType="begin"/>
          </w:r>
          <w:r>
            <w:instrText xml:space="preserve"> HYPERLINK \l "_Toc26442" </w:instrText>
          </w:r>
          <w:r>
            <w:fldChar w:fldCharType="separate"/>
          </w:r>
          <w:r>
            <w:rPr>
              <w:rFonts w:hint="eastAsia" w:ascii="微软雅黑" w:hAnsi="微软雅黑" w:cs="微软雅黑"/>
              <w:szCs w:val="36"/>
            </w:rPr>
            <w:t>15、确认项目选取结果</w:t>
          </w:r>
          <w:r>
            <w:tab/>
          </w:r>
          <w:r>
            <w:fldChar w:fldCharType="begin"/>
          </w:r>
          <w:r>
            <w:instrText xml:space="preserve"> PAGEREF _Toc26442 \h </w:instrText>
          </w:r>
          <w:r>
            <w:fldChar w:fldCharType="separate"/>
          </w:r>
          <w:r>
            <w:t>16</w:t>
          </w:r>
          <w:r>
            <w:fldChar w:fldCharType="end"/>
          </w:r>
          <w:r>
            <w:fldChar w:fldCharType="end"/>
          </w:r>
        </w:p>
        <w:p w14:paraId="4DEA6D1B">
          <w:pPr>
            <w:pStyle w:val="4"/>
            <w:tabs>
              <w:tab w:val="right" w:leader="dot" w:pos="9638"/>
            </w:tabs>
          </w:pPr>
          <w:r>
            <w:fldChar w:fldCharType="begin"/>
          </w:r>
          <w:r>
            <w:instrText xml:space="preserve"> HYPERLINK \l "_Toc10291" </w:instrText>
          </w:r>
          <w:r>
            <w:fldChar w:fldCharType="separate"/>
          </w:r>
          <w:r>
            <w:rPr>
              <w:rFonts w:hint="eastAsia" w:ascii="微软雅黑" w:hAnsi="微软雅黑" w:cs="微软雅黑"/>
              <w:szCs w:val="36"/>
            </w:rPr>
            <w:t>16、下载项目《中选通知书》</w:t>
          </w:r>
          <w:r>
            <w:tab/>
          </w:r>
          <w:r>
            <w:fldChar w:fldCharType="begin"/>
          </w:r>
          <w:r>
            <w:instrText xml:space="preserve"> PAGEREF _Toc10291 \h </w:instrText>
          </w:r>
          <w:r>
            <w:fldChar w:fldCharType="separate"/>
          </w:r>
          <w:r>
            <w:t>17</w:t>
          </w:r>
          <w:r>
            <w:fldChar w:fldCharType="end"/>
          </w:r>
          <w:r>
            <w:fldChar w:fldCharType="end"/>
          </w:r>
        </w:p>
        <w:p w14:paraId="2BFB5394">
          <w:pPr>
            <w:pStyle w:val="4"/>
            <w:tabs>
              <w:tab w:val="right" w:leader="dot" w:pos="9638"/>
            </w:tabs>
          </w:pPr>
          <w:r>
            <w:fldChar w:fldCharType="begin"/>
          </w:r>
          <w:r>
            <w:instrText xml:space="preserve"> HYPERLINK \l "_Toc14737" </w:instrText>
          </w:r>
          <w:r>
            <w:fldChar w:fldCharType="separate"/>
          </w:r>
          <w:r>
            <w:rPr>
              <w:rFonts w:hint="eastAsia" w:ascii="微软雅黑" w:hAnsi="微软雅黑" w:cs="微软雅黑"/>
              <w:szCs w:val="36"/>
            </w:rPr>
            <w:t>17、合同备案审核/延期</w:t>
          </w:r>
          <w:r>
            <w:tab/>
          </w:r>
          <w:r>
            <w:fldChar w:fldCharType="begin"/>
          </w:r>
          <w:r>
            <w:instrText xml:space="preserve"> PAGEREF _Toc14737 \h </w:instrText>
          </w:r>
          <w:r>
            <w:fldChar w:fldCharType="separate"/>
          </w:r>
          <w:r>
            <w:t>17</w:t>
          </w:r>
          <w:r>
            <w:fldChar w:fldCharType="end"/>
          </w:r>
          <w:r>
            <w:fldChar w:fldCharType="end"/>
          </w:r>
        </w:p>
        <w:p w14:paraId="152D41BF">
          <w:pPr>
            <w:pStyle w:val="4"/>
            <w:tabs>
              <w:tab w:val="right" w:leader="dot" w:pos="9638"/>
            </w:tabs>
          </w:pPr>
          <w:r>
            <w:fldChar w:fldCharType="begin"/>
          </w:r>
          <w:r>
            <w:instrText xml:space="preserve"> HYPERLINK \l "_Toc32285" </w:instrText>
          </w:r>
          <w:r>
            <w:fldChar w:fldCharType="separate"/>
          </w:r>
          <w:r>
            <w:rPr>
              <w:rFonts w:hint="eastAsia" w:ascii="微软雅黑" w:hAnsi="微软雅黑" w:cs="微软雅黑"/>
              <w:szCs w:val="36"/>
            </w:rPr>
            <w:t>18、服务成果备案审核/延期</w:t>
          </w:r>
          <w:r>
            <w:tab/>
          </w:r>
          <w:r>
            <w:fldChar w:fldCharType="begin"/>
          </w:r>
          <w:r>
            <w:instrText xml:space="preserve"> PAGEREF _Toc32285 \h </w:instrText>
          </w:r>
          <w:r>
            <w:fldChar w:fldCharType="separate"/>
          </w:r>
          <w:r>
            <w:t>19</w:t>
          </w:r>
          <w:r>
            <w:fldChar w:fldCharType="end"/>
          </w:r>
          <w:r>
            <w:fldChar w:fldCharType="end"/>
          </w:r>
        </w:p>
        <w:p w14:paraId="2BBE577F">
          <w:pPr>
            <w:pStyle w:val="4"/>
            <w:tabs>
              <w:tab w:val="right" w:leader="dot" w:pos="9638"/>
            </w:tabs>
          </w:pPr>
          <w:r>
            <w:fldChar w:fldCharType="begin"/>
          </w:r>
          <w:r>
            <w:instrText xml:space="preserve"> HYPERLINK \l "_Toc10164" </w:instrText>
          </w:r>
          <w:r>
            <w:fldChar w:fldCharType="separate"/>
          </w:r>
          <w:r>
            <w:rPr>
              <w:rFonts w:hint="eastAsia" w:ascii="微软雅黑" w:hAnsi="微软雅黑" w:cs="微软雅黑"/>
              <w:szCs w:val="36"/>
            </w:rPr>
            <w:t>19、项目变更</w:t>
          </w:r>
          <w:r>
            <w:tab/>
          </w:r>
          <w:r>
            <w:fldChar w:fldCharType="begin"/>
          </w:r>
          <w:r>
            <w:instrText xml:space="preserve"> PAGEREF _Toc10164 \h </w:instrText>
          </w:r>
          <w:r>
            <w:fldChar w:fldCharType="separate"/>
          </w:r>
          <w:r>
            <w:t>20</w:t>
          </w:r>
          <w:r>
            <w:fldChar w:fldCharType="end"/>
          </w:r>
          <w:r>
            <w:fldChar w:fldCharType="end"/>
          </w:r>
        </w:p>
        <w:p w14:paraId="06E5E640">
          <w:pPr>
            <w:pStyle w:val="4"/>
            <w:tabs>
              <w:tab w:val="right" w:leader="dot" w:pos="9638"/>
            </w:tabs>
          </w:pPr>
          <w:r>
            <w:fldChar w:fldCharType="begin"/>
          </w:r>
          <w:r>
            <w:instrText xml:space="preserve"> HYPERLINK \l "_Toc25003" </w:instrText>
          </w:r>
          <w:r>
            <w:fldChar w:fldCharType="separate"/>
          </w:r>
          <w:r>
            <w:rPr>
              <w:rFonts w:hint="eastAsia" w:ascii="微软雅黑" w:hAnsi="微软雅黑" w:cs="微软雅黑"/>
              <w:szCs w:val="36"/>
            </w:rPr>
            <w:t>20、项目取消/中止</w:t>
          </w:r>
          <w:r>
            <w:tab/>
          </w:r>
          <w:r>
            <w:fldChar w:fldCharType="begin"/>
          </w:r>
          <w:r>
            <w:instrText xml:space="preserve"> PAGEREF _Toc25003 \h </w:instrText>
          </w:r>
          <w:r>
            <w:fldChar w:fldCharType="separate"/>
          </w:r>
          <w:r>
            <w:t>22</w:t>
          </w:r>
          <w:r>
            <w:fldChar w:fldCharType="end"/>
          </w:r>
          <w:r>
            <w:fldChar w:fldCharType="end"/>
          </w:r>
        </w:p>
        <w:p w14:paraId="4771BE0B">
          <w:r>
            <w:fldChar w:fldCharType="end"/>
          </w:r>
        </w:p>
      </w:sdtContent>
    </w:sdt>
    <w:p w14:paraId="7077012F">
      <w:pPr>
        <w:outlineLvl w:val="0"/>
        <w:rPr>
          <w:rFonts w:ascii="微软雅黑" w:hAnsi="微软雅黑" w:cs="微软雅黑"/>
          <w:sz w:val="36"/>
          <w:szCs w:val="36"/>
        </w:rPr>
        <w:sectPr>
          <w:footerReference r:id="rId3" w:type="default"/>
          <w:pgSz w:w="11906" w:h="16838"/>
          <w:pgMar w:top="850" w:right="1134" w:bottom="850" w:left="1134" w:header="851" w:footer="992" w:gutter="0"/>
          <w:pgNumType w:start="1"/>
          <w:cols w:space="425" w:num="1"/>
          <w:docGrid w:type="lines" w:linePitch="312" w:charSpace="0"/>
        </w:sectPr>
      </w:pPr>
    </w:p>
    <w:p w14:paraId="451C52A6">
      <w:pPr>
        <w:outlineLvl w:val="0"/>
        <w:rPr>
          <w:rFonts w:ascii="微软雅黑" w:hAnsi="微软雅黑" w:cs="微软雅黑"/>
          <w:sz w:val="36"/>
          <w:szCs w:val="36"/>
        </w:rPr>
      </w:pPr>
      <w:bookmarkStart w:id="0" w:name="_Toc7474"/>
      <w:r>
        <w:rPr>
          <w:rFonts w:hint="eastAsia" w:ascii="微软雅黑" w:hAnsi="微软雅黑" w:cs="微软雅黑"/>
          <w:sz w:val="36"/>
          <w:szCs w:val="36"/>
        </w:rPr>
        <w:t>1、适用范围</w:t>
      </w:r>
      <w:bookmarkEnd w:id="0"/>
    </w:p>
    <w:p w14:paraId="3A496500">
      <w:pPr>
        <w:ind w:firstLine="480" w:firstLineChars="200"/>
        <w:jc w:val="left"/>
        <w:rPr>
          <w:rFonts w:ascii="微软雅黑" w:hAnsi="微软雅黑" w:cs="微软雅黑"/>
          <w:bCs/>
        </w:rPr>
      </w:pPr>
      <w:r>
        <w:rPr>
          <w:rFonts w:hint="eastAsia" w:ascii="微软雅黑" w:hAnsi="微软雅黑" w:cs="微软雅黑"/>
          <w:bCs/>
        </w:rPr>
        <w:t>本手册根据海州区中介超市服务管理平台系统功能编制，适用于项目业主方的操作说明。</w:t>
      </w:r>
    </w:p>
    <w:p w14:paraId="0B7503BE">
      <w:pPr>
        <w:ind w:firstLine="480" w:firstLineChars="200"/>
        <w:jc w:val="left"/>
        <w:rPr>
          <w:rFonts w:ascii="微软雅黑" w:hAnsi="微软雅黑" w:cs="微软雅黑"/>
          <w:bCs/>
        </w:rPr>
      </w:pPr>
    </w:p>
    <w:p w14:paraId="5265EF4C">
      <w:pPr>
        <w:outlineLvl w:val="0"/>
        <w:rPr>
          <w:rFonts w:ascii="微软雅黑" w:hAnsi="微软雅黑" w:cs="微软雅黑"/>
          <w:sz w:val="36"/>
          <w:szCs w:val="36"/>
        </w:rPr>
      </w:pPr>
      <w:bookmarkStart w:id="1" w:name="_Toc1505"/>
      <w:r>
        <w:rPr>
          <w:rFonts w:hint="eastAsia" w:ascii="微软雅黑" w:hAnsi="微软雅黑" w:cs="微软雅黑"/>
          <w:sz w:val="36"/>
          <w:szCs w:val="36"/>
        </w:rPr>
        <w:t>2、项目业主注册</w:t>
      </w:r>
      <w:bookmarkEnd w:id="1"/>
    </w:p>
    <w:p w14:paraId="7AACEFB4">
      <w:r>
        <w:drawing>
          <wp:inline distT="0" distB="0" distL="114300" distR="114300">
            <wp:extent cx="6116320" cy="2482850"/>
            <wp:effectExtent l="0" t="0" r="177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116320" cy="2482850"/>
                    </a:xfrm>
                    <a:prstGeom prst="rect">
                      <a:avLst/>
                    </a:prstGeom>
                    <a:noFill/>
                    <a:ln>
                      <a:noFill/>
                    </a:ln>
                  </pic:spPr>
                </pic:pic>
              </a:graphicData>
            </a:graphic>
          </wp:inline>
        </w:drawing>
      </w:r>
    </w:p>
    <w:p w14:paraId="7BB49AA6">
      <w:pPr>
        <w:ind w:firstLine="480" w:firstLineChars="200"/>
      </w:pPr>
      <w:r>
        <w:rPr>
          <w:rFonts w:hint="eastAsia"/>
        </w:rPr>
        <w:t>通过门户首页（网址</w:t>
      </w:r>
      <w:r>
        <w:fldChar w:fldCharType="begin"/>
      </w:r>
      <w:r>
        <w:instrText xml:space="preserve"> HYPERLINK "http://121.229.48.207:8090/" </w:instrText>
      </w:r>
      <w:r>
        <w:fldChar w:fldCharType="separate"/>
      </w:r>
      <w:r>
        <w:rPr>
          <w:rStyle w:val="7"/>
        </w:rPr>
        <w:t>http://121.229.48.207:8090/</w:t>
      </w:r>
      <w:r>
        <w:rPr>
          <w:rStyle w:val="7"/>
        </w:rPr>
        <w:fldChar w:fldCharType="end"/>
      </w:r>
      <w:r>
        <w:rPr>
          <w:rFonts w:hint="eastAsia"/>
        </w:rPr>
        <w:t>），左上角的</w:t>
      </w:r>
      <w:r>
        <w:drawing>
          <wp:inline distT="0" distB="0" distL="114300" distR="114300">
            <wp:extent cx="828675" cy="244475"/>
            <wp:effectExtent l="0" t="0" r="952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828675" cy="244475"/>
                    </a:xfrm>
                    <a:prstGeom prst="rect">
                      <a:avLst/>
                    </a:prstGeom>
                    <a:noFill/>
                    <a:ln>
                      <a:noFill/>
                    </a:ln>
                  </pic:spPr>
                </pic:pic>
              </a:graphicData>
            </a:graphic>
          </wp:inline>
        </w:drawing>
      </w:r>
      <w:r>
        <w:rPr>
          <w:rFonts w:hint="eastAsia"/>
        </w:rPr>
        <w:t>版块，切换到</w:t>
      </w:r>
      <w:r>
        <w:drawing>
          <wp:inline distT="0" distB="0" distL="114300" distR="114300">
            <wp:extent cx="647700" cy="2095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，点击登录框最下方的按钮</w:t>
      </w:r>
      <w:r>
        <w:drawing>
          <wp:inline distT="0" distB="0" distL="114300" distR="114300">
            <wp:extent cx="742950" cy="231140"/>
            <wp:effectExtent l="0" t="0" r="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742950" cy="231140"/>
                    </a:xfrm>
                    <a:prstGeom prst="rect">
                      <a:avLst/>
                    </a:prstGeom>
                    <a:noFill/>
                    <a:ln>
                      <a:noFill/>
                    </a:ln>
                  </pic:spPr>
                </pic:pic>
              </a:graphicData>
            </a:graphic>
          </wp:inline>
        </w:drawing>
      </w:r>
      <w:r>
        <w:rPr>
          <w:rFonts w:hint="eastAsia"/>
        </w:rPr>
        <w:t>，进入到用户协议界面。在打开的用户协议界面中，勾选</w:t>
      </w:r>
      <w:r>
        <w:drawing>
          <wp:inline distT="0" distB="0" distL="114300" distR="114300">
            <wp:extent cx="1209675" cy="2476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209675" cy="247650"/>
                    </a:xfrm>
                    <a:prstGeom prst="rect">
                      <a:avLst/>
                    </a:prstGeom>
                    <a:noFill/>
                    <a:ln>
                      <a:noFill/>
                    </a:ln>
                  </pic:spPr>
                </pic:pic>
              </a:graphicData>
            </a:graphic>
          </wp:inline>
        </w:drawing>
      </w:r>
      <w:r>
        <w:rPr>
          <w:rFonts w:hint="eastAsia"/>
        </w:rPr>
        <w:t>点击</w:t>
      </w:r>
      <w:r>
        <w:drawing>
          <wp:inline distT="0" distB="0" distL="114300" distR="114300">
            <wp:extent cx="462915" cy="215900"/>
            <wp:effectExtent l="0" t="0" r="1333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62915" cy="215900"/>
                    </a:xfrm>
                    <a:prstGeom prst="rect">
                      <a:avLst/>
                    </a:prstGeom>
                    <a:noFill/>
                    <a:ln>
                      <a:noFill/>
                    </a:ln>
                  </pic:spPr>
                </pic:pic>
              </a:graphicData>
            </a:graphic>
          </wp:inline>
        </w:drawing>
      </w:r>
      <w:r>
        <w:rPr>
          <w:rFonts w:hint="eastAsia"/>
        </w:rPr>
        <w:t>进入注册信息填写界面。在本界面中根据系统的要求填写好所有必填项信息完成注册。</w:t>
      </w:r>
    </w:p>
    <w:p w14:paraId="395DDED3">
      <w:r>
        <w:drawing>
          <wp:inline distT="0" distB="0" distL="114300" distR="114300">
            <wp:extent cx="6118860" cy="3082290"/>
            <wp:effectExtent l="0" t="0" r="1524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6118860" cy="3082290"/>
                    </a:xfrm>
                    <a:prstGeom prst="rect">
                      <a:avLst/>
                    </a:prstGeom>
                    <a:noFill/>
                    <a:ln>
                      <a:noFill/>
                    </a:ln>
                  </pic:spPr>
                </pic:pic>
              </a:graphicData>
            </a:graphic>
          </wp:inline>
        </w:drawing>
      </w:r>
    </w:p>
    <w:p w14:paraId="31A77947">
      <w:pPr>
        <w:outlineLvl w:val="0"/>
      </w:pPr>
      <w:bookmarkStart w:id="2" w:name="_Toc884"/>
      <w:r>
        <w:rPr>
          <w:rFonts w:hint="eastAsia" w:ascii="微软雅黑" w:hAnsi="微软雅黑" w:cs="微软雅黑"/>
          <w:sz w:val="36"/>
          <w:szCs w:val="36"/>
        </w:rPr>
        <w:t>3、项目业主登录</w:t>
      </w:r>
      <w:bookmarkEnd w:id="2"/>
    </w:p>
    <w:p w14:paraId="6F4B602A">
      <w:r>
        <w:drawing>
          <wp:inline distT="0" distB="0" distL="114300" distR="114300">
            <wp:extent cx="6113780" cy="2446655"/>
            <wp:effectExtent l="0" t="0" r="1270"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6113780" cy="2446655"/>
                    </a:xfrm>
                    <a:prstGeom prst="rect">
                      <a:avLst/>
                    </a:prstGeom>
                    <a:noFill/>
                    <a:ln>
                      <a:noFill/>
                    </a:ln>
                  </pic:spPr>
                </pic:pic>
              </a:graphicData>
            </a:graphic>
          </wp:inline>
        </w:drawing>
      </w:r>
    </w:p>
    <w:p w14:paraId="2D42AA62">
      <w:pPr>
        <w:ind w:firstLine="480" w:firstLineChars="200"/>
      </w:pPr>
      <w:r>
        <w:rPr>
          <w:rFonts w:hint="eastAsia"/>
        </w:rPr>
        <w:t>通过门户网左上角的登录版块，在</w:t>
      </w:r>
      <w:r>
        <w:drawing>
          <wp:inline distT="0" distB="0" distL="114300" distR="114300">
            <wp:extent cx="809625" cy="2184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，输入注册时填写的用户名和密码点击下方的</w:t>
      </w:r>
      <w:r>
        <w:drawing>
          <wp:inline distT="0" distB="0" distL="114300" distR="114300">
            <wp:extent cx="476250" cy="2095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476250" cy="209550"/>
                    </a:xfrm>
                    <a:prstGeom prst="rect">
                      <a:avLst/>
                    </a:prstGeom>
                    <a:noFill/>
                    <a:ln>
                      <a:noFill/>
                    </a:ln>
                  </pic:spPr>
                </pic:pic>
              </a:graphicData>
            </a:graphic>
          </wp:inline>
        </w:drawing>
      </w:r>
      <w:r>
        <w:rPr>
          <w:rFonts w:hint="eastAsia"/>
        </w:rPr>
        <w:t>进行登录操作。</w:t>
      </w:r>
    </w:p>
    <w:p w14:paraId="253CC2C9"/>
    <w:p w14:paraId="32279CE4">
      <w:pPr>
        <w:outlineLvl w:val="0"/>
      </w:pPr>
      <w:bookmarkStart w:id="3" w:name="_Toc21574"/>
      <w:r>
        <w:rPr>
          <w:rFonts w:hint="eastAsia" w:ascii="微软雅黑" w:hAnsi="微软雅黑" w:cs="微软雅黑"/>
          <w:sz w:val="36"/>
          <w:szCs w:val="36"/>
        </w:rPr>
        <w:t>4、找回用户名/密码</w:t>
      </w:r>
      <w:bookmarkEnd w:id="3"/>
    </w:p>
    <w:p w14:paraId="2571E23D">
      <w:r>
        <w:drawing>
          <wp:inline distT="0" distB="0" distL="114300" distR="114300">
            <wp:extent cx="6112510" cy="2477770"/>
            <wp:effectExtent l="0" t="0" r="2540" b="1778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6"/>
                    <a:stretch>
                      <a:fillRect/>
                    </a:stretch>
                  </pic:blipFill>
                  <pic:spPr>
                    <a:xfrm>
                      <a:off x="0" y="0"/>
                      <a:ext cx="6112510" cy="2477770"/>
                    </a:xfrm>
                    <a:prstGeom prst="rect">
                      <a:avLst/>
                    </a:prstGeom>
                    <a:noFill/>
                    <a:ln>
                      <a:noFill/>
                    </a:ln>
                  </pic:spPr>
                </pic:pic>
              </a:graphicData>
            </a:graphic>
          </wp:inline>
        </w:drawing>
      </w:r>
    </w:p>
    <w:p w14:paraId="17EBCE68">
      <w:pPr>
        <w:ind w:firstLine="480" w:firstLineChars="200"/>
      </w:pPr>
      <w:r>
        <w:rPr>
          <w:rFonts w:hint="eastAsia"/>
        </w:rPr>
        <w:t>通过门户网左上角的登录版块，在</w:t>
      </w:r>
      <w:r>
        <w:drawing>
          <wp:inline distT="0" distB="0" distL="114300" distR="114300">
            <wp:extent cx="809625" cy="218440"/>
            <wp:effectExtent l="0" t="0" r="952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，在中介机构登录版块最下方点击</w:t>
      </w:r>
      <w:r>
        <w:drawing>
          <wp:inline distT="0" distB="0" distL="114300" distR="114300">
            <wp:extent cx="1400175" cy="161925"/>
            <wp:effectExtent l="0" t="0" r="9525" b="952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7"/>
                    <a:stretch>
                      <a:fillRect/>
                    </a:stretch>
                  </pic:blipFill>
                  <pic:spPr>
                    <a:xfrm>
                      <a:off x="0" y="0"/>
                      <a:ext cx="1400175" cy="161925"/>
                    </a:xfrm>
                    <a:prstGeom prst="rect">
                      <a:avLst/>
                    </a:prstGeom>
                    <a:noFill/>
                    <a:ln>
                      <a:noFill/>
                    </a:ln>
                  </pic:spPr>
                </pic:pic>
              </a:graphicData>
            </a:graphic>
          </wp:inline>
        </w:drawing>
      </w:r>
      <w:r>
        <w:rPr>
          <w:rFonts w:hint="eastAsia"/>
        </w:rPr>
        <w:t>的文字链接进入到中介机构找回用户名/密码的操作界面。</w:t>
      </w:r>
    </w:p>
    <w:p w14:paraId="2B3BA9B3">
      <w:r>
        <w:drawing>
          <wp:inline distT="0" distB="0" distL="114300" distR="114300">
            <wp:extent cx="6120130" cy="1527175"/>
            <wp:effectExtent l="0" t="0" r="13970" b="1587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8"/>
                    <a:stretch>
                      <a:fillRect/>
                    </a:stretch>
                  </pic:blipFill>
                  <pic:spPr>
                    <a:xfrm>
                      <a:off x="0" y="0"/>
                      <a:ext cx="6120130" cy="1527175"/>
                    </a:xfrm>
                    <a:prstGeom prst="rect">
                      <a:avLst/>
                    </a:prstGeom>
                    <a:noFill/>
                    <a:ln>
                      <a:noFill/>
                    </a:ln>
                  </pic:spPr>
                </pic:pic>
              </a:graphicData>
            </a:graphic>
          </wp:inline>
        </w:drawing>
      </w:r>
    </w:p>
    <w:p w14:paraId="68AC3D18">
      <w:r>
        <w:drawing>
          <wp:inline distT="0" distB="0" distL="114300" distR="114300">
            <wp:extent cx="6118860" cy="2800350"/>
            <wp:effectExtent l="0" t="0" r="15240"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9"/>
                    <a:stretch>
                      <a:fillRect/>
                    </a:stretch>
                  </pic:blipFill>
                  <pic:spPr>
                    <a:xfrm>
                      <a:off x="0" y="0"/>
                      <a:ext cx="6118860" cy="2800350"/>
                    </a:xfrm>
                    <a:prstGeom prst="rect">
                      <a:avLst/>
                    </a:prstGeom>
                    <a:noFill/>
                    <a:ln>
                      <a:noFill/>
                    </a:ln>
                  </pic:spPr>
                </pic:pic>
              </a:graphicData>
            </a:graphic>
          </wp:inline>
        </w:drawing>
      </w:r>
    </w:p>
    <w:p w14:paraId="712AD19A">
      <w:pPr>
        <w:ind w:firstLine="480" w:firstLineChars="200"/>
      </w:pPr>
      <w:r>
        <w:rPr>
          <w:rFonts w:hint="eastAsia"/>
        </w:rPr>
        <w:t>无论是找回用户名还是找回密码，都需要使用到注册时填写的手机号，进行短信验证操作后才能进行操作。</w:t>
      </w:r>
    </w:p>
    <w:p w14:paraId="35EEE75C"/>
    <w:p w14:paraId="57A36D4C">
      <w:pPr>
        <w:outlineLvl w:val="0"/>
      </w:pPr>
      <w:bookmarkStart w:id="4" w:name="_Toc29660"/>
      <w:r>
        <w:rPr>
          <w:rFonts w:hint="eastAsia" w:ascii="微软雅黑" w:hAnsi="微软雅黑" w:cs="微软雅黑"/>
          <w:sz w:val="36"/>
          <w:szCs w:val="36"/>
        </w:rPr>
        <w:t>5、完善业主主体信息</w:t>
      </w:r>
      <w:bookmarkEnd w:id="4"/>
    </w:p>
    <w:p w14:paraId="2C612D3D">
      <w:r>
        <w:rPr>
          <w:rFonts w:hint="eastAsia"/>
        </w:rPr>
        <w:t>业主用户注册完成后的首次登录，需要完善用户所在的单位主体信息；</w:t>
      </w:r>
    </w:p>
    <w:p w14:paraId="7D85996C">
      <w:r>
        <w:drawing>
          <wp:inline distT="0" distB="0" distL="114300" distR="114300">
            <wp:extent cx="6118225" cy="4220845"/>
            <wp:effectExtent l="0" t="0" r="15875" b="825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0"/>
                    <a:stretch>
                      <a:fillRect/>
                    </a:stretch>
                  </pic:blipFill>
                  <pic:spPr>
                    <a:xfrm>
                      <a:off x="0" y="0"/>
                      <a:ext cx="6118225" cy="4220845"/>
                    </a:xfrm>
                    <a:prstGeom prst="rect">
                      <a:avLst/>
                    </a:prstGeom>
                    <a:noFill/>
                    <a:ln>
                      <a:noFill/>
                    </a:ln>
                  </pic:spPr>
                </pic:pic>
              </a:graphicData>
            </a:graphic>
          </wp:inline>
        </w:drawing>
      </w:r>
    </w:p>
    <w:p w14:paraId="0F7E1F31"/>
    <w:p w14:paraId="682EE21A">
      <w:pPr>
        <w:outlineLvl w:val="0"/>
      </w:pPr>
      <w:bookmarkStart w:id="5" w:name="_Toc21223"/>
      <w:r>
        <w:rPr>
          <w:rFonts w:hint="eastAsia" w:ascii="微软雅黑" w:hAnsi="微软雅黑" w:cs="微软雅黑"/>
          <w:sz w:val="36"/>
          <w:szCs w:val="36"/>
        </w:rPr>
        <w:t>6、项目业主管理平台操作界面</w:t>
      </w:r>
      <w:bookmarkEnd w:id="5"/>
    </w:p>
    <w:p w14:paraId="6191ED3E">
      <w:r>
        <w:drawing>
          <wp:inline distT="0" distB="0" distL="114300" distR="114300">
            <wp:extent cx="6117590" cy="3937000"/>
            <wp:effectExtent l="0" t="0" r="16510" b="635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21"/>
                    <a:stretch>
                      <a:fillRect/>
                    </a:stretch>
                  </pic:blipFill>
                  <pic:spPr>
                    <a:xfrm>
                      <a:off x="0" y="0"/>
                      <a:ext cx="6117590" cy="3937000"/>
                    </a:xfrm>
                    <a:prstGeom prst="rect">
                      <a:avLst/>
                    </a:prstGeom>
                    <a:noFill/>
                    <a:ln>
                      <a:noFill/>
                    </a:ln>
                  </pic:spPr>
                </pic:pic>
              </a:graphicData>
            </a:graphic>
          </wp:inline>
        </w:drawing>
      </w:r>
    </w:p>
    <w:p w14:paraId="7D5F5B8F"/>
    <w:p w14:paraId="0815DB15">
      <w:pPr>
        <w:outlineLvl w:val="0"/>
      </w:pPr>
      <w:bookmarkStart w:id="6" w:name="_Toc24724"/>
      <w:r>
        <w:rPr>
          <w:rFonts w:hint="eastAsia" w:ascii="微软雅黑" w:hAnsi="微软雅黑" w:cs="微软雅黑"/>
          <w:sz w:val="36"/>
          <w:szCs w:val="36"/>
        </w:rPr>
        <w:t>7、项目采购流程</w:t>
      </w:r>
      <w:bookmarkEnd w:id="6"/>
    </w:p>
    <w:p w14:paraId="5C482DC3">
      <w:r>
        <w:drawing>
          <wp:inline distT="0" distB="0" distL="114300" distR="114300">
            <wp:extent cx="6485255" cy="3714115"/>
            <wp:effectExtent l="0" t="0" r="0" b="63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61980" cy="3757813"/>
                    </a:xfrm>
                    <a:prstGeom prst="rect">
                      <a:avLst/>
                    </a:prstGeom>
                    <a:noFill/>
                    <a:ln>
                      <a:noFill/>
                    </a:ln>
                  </pic:spPr>
                </pic:pic>
              </a:graphicData>
            </a:graphic>
          </wp:inline>
        </w:drawing>
      </w:r>
    </w:p>
    <w:p w14:paraId="0F0C402E">
      <w:pPr>
        <w:rPr>
          <w:rFonts w:ascii="微软雅黑" w:hAnsi="微软雅黑" w:cs="微软雅黑"/>
          <w:sz w:val="36"/>
          <w:szCs w:val="36"/>
        </w:rPr>
      </w:pPr>
    </w:p>
    <w:p w14:paraId="30F23BE9">
      <w:pPr>
        <w:outlineLvl w:val="0"/>
      </w:pPr>
      <w:bookmarkStart w:id="7" w:name="_Toc19089"/>
      <w:r>
        <w:rPr>
          <w:rFonts w:hint="eastAsia" w:ascii="微软雅黑" w:hAnsi="微软雅黑" w:cs="微软雅黑"/>
          <w:sz w:val="36"/>
          <w:szCs w:val="36"/>
        </w:rPr>
        <w:t>8、填写项目采购需求</w:t>
      </w:r>
      <w:bookmarkEnd w:id="7"/>
    </w:p>
    <w:p w14:paraId="58356765">
      <w:pPr>
        <w:ind w:firstLine="480" w:firstLineChars="200"/>
      </w:pPr>
      <w:r>
        <w:rPr>
          <w:rFonts w:hint="eastAsia"/>
        </w:rPr>
        <w:t>项目的采购需求入口可以业主管理平台首页</w:t>
      </w:r>
      <w:r>
        <w:drawing>
          <wp:inline distT="0" distB="0" distL="114300" distR="114300">
            <wp:extent cx="600075" cy="200025"/>
            <wp:effectExtent l="0" t="0" r="9525"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3"/>
                    <a:stretch>
                      <a:fillRect/>
                    </a:stretch>
                  </pic:blipFill>
                  <pic:spPr>
                    <a:xfrm>
                      <a:off x="0" y="0"/>
                      <a:ext cx="600075" cy="200025"/>
                    </a:xfrm>
                    <a:prstGeom prst="rect">
                      <a:avLst/>
                    </a:prstGeom>
                    <a:noFill/>
                    <a:ln>
                      <a:noFill/>
                    </a:ln>
                  </pic:spPr>
                </pic:pic>
              </a:graphicData>
            </a:graphic>
          </wp:inline>
        </w:drawing>
      </w:r>
      <w:r>
        <w:rPr>
          <w:rFonts w:hint="eastAsia"/>
        </w:rPr>
        <w:t>、</w:t>
      </w:r>
      <w:r>
        <w:drawing>
          <wp:inline distT="0" distB="0" distL="114300" distR="114300">
            <wp:extent cx="695325" cy="190500"/>
            <wp:effectExtent l="0" t="0" r="9525" b="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4"/>
                    <a:stretch>
                      <a:fillRect/>
                    </a:stretch>
                  </pic:blipFill>
                  <pic:spPr>
                    <a:xfrm>
                      <a:off x="0" y="0"/>
                      <a:ext cx="695325" cy="190500"/>
                    </a:xfrm>
                    <a:prstGeom prst="rect">
                      <a:avLst/>
                    </a:prstGeom>
                    <a:noFill/>
                    <a:ln>
                      <a:noFill/>
                    </a:ln>
                  </pic:spPr>
                </pic:pic>
              </a:graphicData>
            </a:graphic>
          </wp:inline>
        </w:drawing>
      </w:r>
      <w:r>
        <w:rPr>
          <w:rFonts w:hint="eastAsia"/>
        </w:rPr>
        <w:t>按钮进入填报。也可以通过左边菜单【项目管理】-【项目列表】，项目列表的右上方通过</w:t>
      </w:r>
      <w:r>
        <w:drawing>
          <wp:inline distT="0" distB="0" distL="114300" distR="114300">
            <wp:extent cx="628650" cy="228600"/>
            <wp:effectExtent l="0" t="0" r="0" b="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25"/>
                    <a:stretch>
                      <a:fillRect/>
                    </a:stretch>
                  </pic:blipFill>
                  <pic:spPr>
                    <a:xfrm>
                      <a:off x="0" y="0"/>
                      <a:ext cx="628650" cy="228600"/>
                    </a:xfrm>
                    <a:prstGeom prst="rect">
                      <a:avLst/>
                    </a:prstGeom>
                    <a:noFill/>
                    <a:ln>
                      <a:noFill/>
                    </a:ln>
                  </pic:spPr>
                </pic:pic>
              </a:graphicData>
            </a:graphic>
          </wp:inline>
        </w:drawing>
      </w:r>
      <w:r>
        <w:rPr>
          <w:rFonts w:hint="eastAsia"/>
        </w:rPr>
        <w:t>按钮进入填报页面。</w:t>
      </w:r>
    </w:p>
    <w:p w14:paraId="6237FE10">
      <w:r>
        <w:drawing>
          <wp:inline distT="0" distB="0" distL="114300" distR="114300">
            <wp:extent cx="6117590" cy="914400"/>
            <wp:effectExtent l="0" t="0" r="16510" b="0"/>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26"/>
                    <a:stretch>
                      <a:fillRect/>
                    </a:stretch>
                  </pic:blipFill>
                  <pic:spPr>
                    <a:xfrm>
                      <a:off x="0" y="0"/>
                      <a:ext cx="6117590" cy="914400"/>
                    </a:xfrm>
                    <a:prstGeom prst="rect">
                      <a:avLst/>
                    </a:prstGeom>
                    <a:noFill/>
                    <a:ln>
                      <a:noFill/>
                    </a:ln>
                  </pic:spPr>
                </pic:pic>
              </a:graphicData>
            </a:graphic>
          </wp:inline>
        </w:drawing>
      </w:r>
    </w:p>
    <w:p w14:paraId="4A44F5ED">
      <w:r>
        <w:drawing>
          <wp:inline distT="0" distB="0" distL="114300" distR="114300">
            <wp:extent cx="6113145" cy="1957070"/>
            <wp:effectExtent l="0" t="0" r="1905" b="508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27"/>
                    <a:stretch>
                      <a:fillRect/>
                    </a:stretch>
                  </pic:blipFill>
                  <pic:spPr>
                    <a:xfrm>
                      <a:off x="0" y="0"/>
                      <a:ext cx="6113145" cy="1957070"/>
                    </a:xfrm>
                    <a:prstGeom prst="rect">
                      <a:avLst/>
                    </a:prstGeom>
                    <a:noFill/>
                    <a:ln>
                      <a:noFill/>
                    </a:ln>
                  </pic:spPr>
                </pic:pic>
              </a:graphicData>
            </a:graphic>
          </wp:inline>
        </w:drawing>
      </w:r>
    </w:p>
    <w:p w14:paraId="308F534C"/>
    <w:p w14:paraId="3CB5988C">
      <w:pPr>
        <w:ind w:firstLine="480" w:firstLineChars="200"/>
      </w:pPr>
      <w:r>
        <w:rPr>
          <w:rFonts w:hint="eastAsia"/>
        </w:rPr>
        <w:t>申请项目打开后，将进入到项目信息填写界面，项目申报共需要填写四项信息：</w:t>
      </w:r>
      <w:r>
        <w:rPr>
          <w:rFonts w:hint="eastAsia"/>
          <w:b/>
          <w:bCs/>
        </w:rPr>
        <w:t>基本情况、选取相关、项目联系人、项目佐证材料</w:t>
      </w:r>
      <w:r>
        <w:rPr>
          <w:rFonts w:hint="eastAsia"/>
        </w:rPr>
        <w:t>。</w:t>
      </w:r>
    </w:p>
    <w:p w14:paraId="35A9251C">
      <w:pPr>
        <w:rPr>
          <w:b/>
          <w:bCs/>
        </w:rPr>
      </w:pPr>
      <w:r>
        <w:drawing>
          <wp:inline distT="0" distB="0" distL="114300" distR="114300">
            <wp:extent cx="6116320" cy="3133090"/>
            <wp:effectExtent l="0" t="0" r="17780" b="10160"/>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pic:cNvPicPr>
                      <a:picLocks noChangeAspect="1"/>
                    </pic:cNvPicPr>
                  </pic:nvPicPr>
                  <pic:blipFill>
                    <a:blip r:embed="rId28"/>
                    <a:stretch>
                      <a:fillRect/>
                    </a:stretch>
                  </pic:blipFill>
                  <pic:spPr>
                    <a:xfrm>
                      <a:off x="0" y="0"/>
                      <a:ext cx="6116320" cy="3133090"/>
                    </a:xfrm>
                    <a:prstGeom prst="rect">
                      <a:avLst/>
                    </a:prstGeom>
                    <a:noFill/>
                    <a:ln>
                      <a:noFill/>
                    </a:ln>
                  </pic:spPr>
                </pic:pic>
              </a:graphicData>
            </a:graphic>
          </wp:inline>
        </w:drawing>
      </w:r>
    </w:p>
    <w:p w14:paraId="03AD2C2D">
      <w:pPr>
        <w:ind w:firstLine="480" w:firstLineChars="200"/>
      </w:pPr>
      <w:r>
        <w:rPr>
          <w:rFonts w:hint="eastAsia"/>
          <w:b/>
          <w:bCs/>
        </w:rPr>
        <w:t>基本情况：</w:t>
      </w:r>
      <w:r>
        <w:rPr>
          <w:rFonts w:hint="eastAsia"/>
        </w:rPr>
        <w:t>主要填写项目的基本信息，如项目名称、项目地址、项目简介。</w:t>
      </w:r>
    </w:p>
    <w:p w14:paraId="09FFA049">
      <w:pPr>
        <w:ind w:firstLine="480" w:firstLineChars="200"/>
      </w:pPr>
    </w:p>
    <w:p w14:paraId="7D995629">
      <w:r>
        <w:drawing>
          <wp:inline distT="0" distB="0" distL="114300" distR="114300">
            <wp:extent cx="6112510" cy="9158605"/>
            <wp:effectExtent l="0" t="0" r="2540" b="4445"/>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29"/>
                    <a:stretch>
                      <a:fillRect/>
                    </a:stretch>
                  </pic:blipFill>
                  <pic:spPr>
                    <a:xfrm>
                      <a:off x="0" y="0"/>
                      <a:ext cx="6112510" cy="9158605"/>
                    </a:xfrm>
                    <a:prstGeom prst="rect">
                      <a:avLst/>
                    </a:prstGeom>
                    <a:noFill/>
                    <a:ln>
                      <a:noFill/>
                    </a:ln>
                  </pic:spPr>
                </pic:pic>
              </a:graphicData>
            </a:graphic>
          </wp:inline>
        </w:drawing>
      </w:r>
    </w:p>
    <w:p w14:paraId="4E38E094">
      <w:pPr>
        <w:ind w:firstLine="480" w:firstLineChars="200"/>
      </w:pPr>
      <w:r>
        <w:rPr>
          <w:rFonts w:hint="eastAsia"/>
          <w:b/>
          <w:bCs/>
        </w:rPr>
        <w:t>选取相关：</w:t>
      </w:r>
      <w:r>
        <w:rPr>
          <w:rFonts w:hint="eastAsia"/>
        </w:rPr>
        <w:t>主要选择项目的选取方式、所需中介服务事项、所需资质、服务金额、服务时限要求等相关报名条件的事项设定填报。</w:t>
      </w:r>
    </w:p>
    <w:p w14:paraId="35C58D8D">
      <w:pPr>
        <w:ind w:firstLine="420"/>
      </w:pPr>
      <w:r>
        <w:rPr>
          <w:rFonts w:hint="eastAsia"/>
          <w:b/>
          <w:bCs/>
        </w:rPr>
        <w:t>二次选取方式说明：1、没有设置二次选取</w:t>
      </w:r>
      <w:r>
        <w:rPr>
          <w:rFonts w:hint="eastAsia"/>
        </w:rPr>
        <w:t>，那么当项目通过例如竞价的选取方式，产生了2家或以上符合中选条件的机构，为了确保中选结果的唯一性，如有相同最低报价，则先报价的中介企业中选。</w:t>
      </w:r>
      <w:r>
        <w:rPr>
          <w:rFonts w:hint="eastAsia"/>
          <w:b/>
          <w:bCs/>
        </w:rPr>
        <w:t>2、</w:t>
      </w:r>
      <w:r>
        <w:rPr>
          <w:b/>
          <w:bCs/>
        </w:rPr>
        <w:t>设置了二次选取</w:t>
      </w:r>
      <w:r>
        <w:rPr>
          <w:rFonts w:hint="eastAsia"/>
        </w:rPr>
        <w:t>，那么当项目通过“主选取方式”的选取后，假设产生了多个符合条件的中选机构。那么就会通过二次选取的方式，将第一轮选取产生的中选机构再进行一次选取，从而得出最后中选的唯一机构。</w:t>
      </w:r>
      <w:r>
        <w:rPr>
          <w:rFonts w:hint="eastAsia"/>
          <w:color w:val="FF0000"/>
        </w:rPr>
        <w:t>目前只有竞价选取方式支持选取二次选取方式</w:t>
      </w:r>
      <w:r>
        <w:rPr>
          <w:rFonts w:hint="eastAsia"/>
        </w:rPr>
        <w:t>。</w:t>
      </w:r>
    </w:p>
    <w:p w14:paraId="4253A6E1">
      <w:pPr>
        <w:ind w:firstLine="420"/>
      </w:pPr>
      <w:r>
        <w:rPr>
          <w:rFonts w:hint="eastAsia"/>
          <w:b/>
          <w:bCs/>
        </w:rPr>
        <w:t>资质分组：</w:t>
      </w:r>
      <w:r>
        <w:rPr>
          <w:rFonts w:hint="eastAsia"/>
        </w:rPr>
        <w:t>项目设置报名条件中的资质条件时，需要选择资质组别，目前共开设有三个分组：A组、B组、C组。若需要指定同一项目需要指定两个以上的资质条件，如果所有资质条件都设置在同一个分组里，那么表示报名的中介机构需要满足该分组里所有的资质条件才可能报名。如果两个资质设置在A组、B组两个不同的组别中，那么表示报名的中介机构只需要满足A组的资质或者B组的资质就可以参与报名。同组为要求资质关系为“和”，不同组要求的资质关系为“或”。</w:t>
      </w:r>
    </w:p>
    <w:p w14:paraId="5EEFA25C">
      <w:pPr>
        <w:ind w:firstLine="480" w:firstLineChars="200"/>
      </w:pPr>
      <w:r>
        <w:rPr>
          <w:rFonts w:hint="eastAsia"/>
          <w:b/>
          <w:bCs/>
        </w:rPr>
        <w:t>关联项目说明：</w:t>
      </w:r>
      <w:r>
        <w:rPr>
          <w:rFonts w:hint="eastAsia"/>
        </w:rPr>
        <w:t>如业主有A、B两个项目需选取，那么业主在填报B项目的时候，选择了关联项目A，有一家【中介机构ZG】符合两个项目的报名要求，都进行了报名。在项目的选取中【中介机构ZG】中选B，那么该中介机构将不能在中选A。</w:t>
      </w:r>
    </w:p>
    <w:p w14:paraId="128FFC63">
      <w:pPr>
        <w:ind w:firstLine="480" w:firstLineChars="200"/>
      </w:pPr>
      <w:r>
        <w:rPr>
          <w:rFonts w:hint="eastAsia"/>
          <w:b/>
          <w:bCs/>
        </w:rPr>
        <w:t>报名回避的中介机构：</w:t>
      </w:r>
      <w:r>
        <w:rPr>
          <w:rFonts w:hint="eastAsia"/>
        </w:rPr>
        <w:t>项目在特殊情况下，需要回避指定的中介机构，业主需要佐证材料里上传有效的回避说明。被回避的中介机构直接无法报名参与该项目。</w:t>
      </w:r>
    </w:p>
    <w:p w14:paraId="744FF29C">
      <w:pPr>
        <w:ind w:firstLine="480" w:firstLineChars="200"/>
      </w:pPr>
      <w:r>
        <w:rPr>
          <w:rFonts w:hint="eastAsia"/>
          <w:b/>
          <w:bCs/>
        </w:rPr>
        <w:t>个性化需求：</w:t>
      </w:r>
      <w:r>
        <w:rPr>
          <w:rFonts w:hint="eastAsia"/>
        </w:rPr>
        <w:t>设置了个性化需求详细项时，如：中标通知书、项目合同、业绩报告、业主特殊要求。中介机构在报名时需要根据要求上传个性化需求材料，并且报名信息需要由业主进行审核。</w:t>
      </w:r>
    </w:p>
    <w:p w14:paraId="7F7E4F67">
      <w:pPr>
        <w:ind w:firstLine="480" w:firstLineChars="200"/>
      </w:pPr>
      <w:r>
        <w:rPr>
          <w:rFonts w:hint="eastAsia"/>
          <w:b/>
          <w:bCs/>
        </w:rPr>
        <w:t>服务金额：</w:t>
      </w:r>
      <w:r>
        <w:rPr>
          <w:rFonts w:hint="eastAsia"/>
        </w:rPr>
        <w:t>竞价类的服务金额建议设置为价格区间，以免出现影响市场规范的情况。</w:t>
      </w:r>
    </w:p>
    <w:p w14:paraId="21BDC8D6">
      <w:r>
        <w:drawing>
          <wp:inline distT="0" distB="0" distL="114300" distR="114300">
            <wp:extent cx="6114415" cy="5811520"/>
            <wp:effectExtent l="0" t="0" r="635" b="1778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30"/>
                    <a:stretch>
                      <a:fillRect/>
                    </a:stretch>
                  </pic:blipFill>
                  <pic:spPr>
                    <a:xfrm>
                      <a:off x="0" y="0"/>
                      <a:ext cx="6114415" cy="5811520"/>
                    </a:xfrm>
                    <a:prstGeom prst="rect">
                      <a:avLst/>
                    </a:prstGeom>
                    <a:noFill/>
                    <a:ln>
                      <a:noFill/>
                    </a:ln>
                  </pic:spPr>
                </pic:pic>
              </a:graphicData>
            </a:graphic>
          </wp:inline>
        </w:drawing>
      </w:r>
    </w:p>
    <w:p w14:paraId="78505F9C">
      <w:pPr>
        <w:ind w:firstLine="480" w:firstLineChars="200"/>
      </w:pPr>
      <w:r>
        <w:rPr>
          <w:rFonts w:hint="eastAsia"/>
          <w:b/>
          <w:bCs/>
        </w:rPr>
        <w:t>项目联系人：</w:t>
      </w:r>
      <w:r>
        <w:rPr>
          <w:rFonts w:hint="eastAsia"/>
        </w:rPr>
        <w:t>用于项目的中介超市选取业务流转过程的联系，以及中介机构报名时的对项目参数、条件的相关咨询联系。</w:t>
      </w:r>
    </w:p>
    <w:p w14:paraId="11578B0D"/>
    <w:p w14:paraId="5515387D">
      <w:r>
        <w:drawing>
          <wp:inline distT="0" distB="0" distL="114300" distR="114300">
            <wp:extent cx="6114415" cy="1525905"/>
            <wp:effectExtent l="0" t="0" r="635" b="17145"/>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31"/>
                    <a:stretch>
                      <a:fillRect/>
                    </a:stretch>
                  </pic:blipFill>
                  <pic:spPr>
                    <a:xfrm>
                      <a:off x="0" y="0"/>
                      <a:ext cx="6114415" cy="1525905"/>
                    </a:xfrm>
                    <a:prstGeom prst="rect">
                      <a:avLst/>
                    </a:prstGeom>
                    <a:noFill/>
                    <a:ln>
                      <a:noFill/>
                    </a:ln>
                  </pic:spPr>
                </pic:pic>
              </a:graphicData>
            </a:graphic>
          </wp:inline>
        </w:drawing>
      </w:r>
    </w:p>
    <w:p w14:paraId="4DF445A4">
      <w:pPr>
        <w:ind w:firstLine="480" w:firstLineChars="200"/>
      </w:pPr>
      <w:r>
        <w:rPr>
          <w:rFonts w:hint="eastAsia"/>
          <w:b/>
          <w:bCs/>
        </w:rPr>
        <w:t>项目佐证材料：</w:t>
      </w:r>
      <w:r>
        <w:rPr>
          <w:rFonts w:hint="eastAsia"/>
        </w:rPr>
        <w:t>上传项目相关立项材料，此材料可根据项目类型、需求选择不同的材料进行上传即可。</w:t>
      </w:r>
    </w:p>
    <w:p w14:paraId="2BC007E5"/>
    <w:p w14:paraId="75B8EF79">
      <w:pPr>
        <w:outlineLvl w:val="0"/>
      </w:pPr>
      <w:bookmarkStart w:id="8" w:name="_Toc22843"/>
      <w:r>
        <w:rPr>
          <w:rFonts w:hint="eastAsia" w:ascii="微软雅黑" w:hAnsi="微软雅黑" w:cs="微软雅黑"/>
          <w:sz w:val="36"/>
          <w:szCs w:val="36"/>
        </w:rPr>
        <w:t>9、项目审核报送</w:t>
      </w:r>
      <w:bookmarkEnd w:id="8"/>
    </w:p>
    <w:p w14:paraId="361779AF">
      <w:pPr>
        <w:ind w:firstLine="480" w:firstLineChars="200"/>
      </w:pPr>
      <w:r>
        <w:rPr>
          <w:rFonts w:hint="eastAsia"/>
        </w:rPr>
        <w:t>项目采购需求填报好以后，需要将项目报送到中介服务超市进行审核，进行后续的选取业务流程。操作入口在项目列表，未报送标签中，右边操作列点击</w:t>
      </w:r>
      <w:r>
        <w:drawing>
          <wp:inline distT="0" distB="0" distL="114300" distR="114300">
            <wp:extent cx="981075" cy="171450"/>
            <wp:effectExtent l="0" t="0" r="9525" b="0"/>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32"/>
                    <a:stretch>
                      <a:fillRect/>
                    </a:stretch>
                  </pic:blipFill>
                  <pic:spPr>
                    <a:xfrm>
                      <a:off x="0" y="0"/>
                      <a:ext cx="981075" cy="171450"/>
                    </a:xfrm>
                    <a:prstGeom prst="rect">
                      <a:avLst/>
                    </a:prstGeom>
                    <a:noFill/>
                    <a:ln>
                      <a:noFill/>
                    </a:ln>
                  </pic:spPr>
                </pic:pic>
              </a:graphicData>
            </a:graphic>
          </wp:inline>
        </w:drawing>
      </w:r>
      <w:r>
        <w:rPr>
          <w:rFonts w:hint="eastAsia"/>
        </w:rPr>
        <w:t>按钮进行报送操作。</w:t>
      </w:r>
    </w:p>
    <w:p w14:paraId="2183C724">
      <w:r>
        <w:drawing>
          <wp:inline distT="0" distB="0" distL="114300" distR="114300">
            <wp:extent cx="6116955" cy="1868170"/>
            <wp:effectExtent l="0" t="0" r="17145" b="1778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33"/>
                    <a:stretch>
                      <a:fillRect/>
                    </a:stretch>
                  </pic:blipFill>
                  <pic:spPr>
                    <a:xfrm>
                      <a:off x="0" y="0"/>
                      <a:ext cx="6116955" cy="1868170"/>
                    </a:xfrm>
                    <a:prstGeom prst="rect">
                      <a:avLst/>
                    </a:prstGeom>
                    <a:noFill/>
                    <a:ln>
                      <a:noFill/>
                    </a:ln>
                  </pic:spPr>
                </pic:pic>
              </a:graphicData>
            </a:graphic>
          </wp:inline>
        </w:drawing>
      </w:r>
    </w:p>
    <w:p w14:paraId="4F7DDCEE">
      <w:r>
        <w:drawing>
          <wp:inline distT="0" distB="0" distL="114300" distR="114300">
            <wp:extent cx="6116320" cy="4010660"/>
            <wp:effectExtent l="0" t="0" r="17780" b="889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34"/>
                    <a:stretch>
                      <a:fillRect/>
                    </a:stretch>
                  </pic:blipFill>
                  <pic:spPr>
                    <a:xfrm>
                      <a:off x="0" y="0"/>
                      <a:ext cx="6116320" cy="4010660"/>
                    </a:xfrm>
                    <a:prstGeom prst="rect">
                      <a:avLst/>
                    </a:prstGeom>
                    <a:noFill/>
                    <a:ln>
                      <a:noFill/>
                    </a:ln>
                  </pic:spPr>
                </pic:pic>
              </a:graphicData>
            </a:graphic>
          </wp:inline>
        </w:drawing>
      </w:r>
    </w:p>
    <w:p w14:paraId="51825AB8">
      <w:r>
        <w:rPr>
          <w:rFonts w:hint="eastAsia"/>
        </w:rPr>
        <w:t>同意用户使用协调，点击确认报送按钮完成报送操作。</w:t>
      </w:r>
    </w:p>
    <w:p w14:paraId="6B71F7C2"/>
    <w:p w14:paraId="553DBF69"/>
    <w:p w14:paraId="510B6991"/>
    <w:p w14:paraId="27475FCB"/>
    <w:p w14:paraId="360C5937"/>
    <w:p w14:paraId="397A8D6F">
      <w:pPr>
        <w:outlineLvl w:val="0"/>
      </w:pPr>
      <w:bookmarkStart w:id="9" w:name="_Toc30287"/>
      <w:r>
        <w:rPr>
          <w:rFonts w:hint="eastAsia" w:ascii="微软雅黑" w:hAnsi="微软雅黑" w:cs="微软雅黑"/>
          <w:sz w:val="36"/>
          <w:szCs w:val="36"/>
        </w:rPr>
        <w:t>10、审核报名机构</w:t>
      </w:r>
      <w:bookmarkEnd w:id="9"/>
    </w:p>
    <w:p w14:paraId="0CAE4F56">
      <w:pPr>
        <w:ind w:firstLine="480" w:firstLineChars="200"/>
      </w:pPr>
      <w:r>
        <w:rPr>
          <w:rFonts w:hint="eastAsia"/>
        </w:rPr>
        <w:t>业主在填报项目时，如果设置了机构报名时需要上传指定的个性化需求材料，报名的中介机构需要由业主进行审核。审核入口在业主管理平台首页【审核报名机构】菜单进入。</w:t>
      </w:r>
    </w:p>
    <w:p w14:paraId="27424FC5">
      <w:r>
        <w:drawing>
          <wp:inline distT="0" distB="0" distL="114300" distR="114300">
            <wp:extent cx="6118225" cy="1877695"/>
            <wp:effectExtent l="0" t="0" r="158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6118225" cy="1877695"/>
                    </a:xfrm>
                    <a:prstGeom prst="rect">
                      <a:avLst/>
                    </a:prstGeom>
                    <a:noFill/>
                    <a:ln>
                      <a:noFill/>
                    </a:ln>
                  </pic:spPr>
                </pic:pic>
              </a:graphicData>
            </a:graphic>
          </wp:inline>
        </w:drawing>
      </w:r>
    </w:p>
    <w:p w14:paraId="3FF996DE">
      <w:r>
        <w:drawing>
          <wp:inline distT="0" distB="0" distL="114300" distR="114300">
            <wp:extent cx="6115685" cy="1265555"/>
            <wp:effectExtent l="0" t="0" r="184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6115685" cy="1265555"/>
                    </a:xfrm>
                    <a:prstGeom prst="rect">
                      <a:avLst/>
                    </a:prstGeom>
                    <a:noFill/>
                    <a:ln>
                      <a:noFill/>
                    </a:ln>
                  </pic:spPr>
                </pic:pic>
              </a:graphicData>
            </a:graphic>
          </wp:inline>
        </w:drawing>
      </w:r>
    </w:p>
    <w:p w14:paraId="266559E4">
      <w:r>
        <w:drawing>
          <wp:inline distT="0" distB="0" distL="114300" distR="114300">
            <wp:extent cx="6113780" cy="1205865"/>
            <wp:effectExtent l="0" t="0" r="127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6113780" cy="1205865"/>
                    </a:xfrm>
                    <a:prstGeom prst="rect">
                      <a:avLst/>
                    </a:prstGeom>
                    <a:noFill/>
                    <a:ln>
                      <a:noFill/>
                    </a:ln>
                  </pic:spPr>
                </pic:pic>
              </a:graphicData>
            </a:graphic>
          </wp:inline>
        </w:drawing>
      </w:r>
    </w:p>
    <w:p w14:paraId="3E1B4B08">
      <w:r>
        <w:drawing>
          <wp:inline distT="0" distB="0" distL="114300" distR="114300">
            <wp:extent cx="6038850" cy="26479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8"/>
                    <a:stretch>
                      <a:fillRect/>
                    </a:stretch>
                  </pic:blipFill>
                  <pic:spPr>
                    <a:xfrm>
                      <a:off x="0" y="0"/>
                      <a:ext cx="6038850" cy="2647950"/>
                    </a:xfrm>
                    <a:prstGeom prst="rect">
                      <a:avLst/>
                    </a:prstGeom>
                    <a:noFill/>
                    <a:ln>
                      <a:noFill/>
                    </a:ln>
                  </pic:spPr>
                </pic:pic>
              </a:graphicData>
            </a:graphic>
          </wp:inline>
        </w:drawing>
      </w:r>
    </w:p>
    <w:p w14:paraId="5AA73241"/>
    <w:p w14:paraId="25A32E38"/>
    <w:p w14:paraId="52C2736F"/>
    <w:p w14:paraId="72C89C06">
      <w:pPr>
        <w:outlineLvl w:val="0"/>
      </w:pPr>
      <w:bookmarkStart w:id="10" w:name="_Toc30473"/>
      <w:r>
        <w:rPr>
          <w:rFonts w:hint="eastAsia" w:ascii="微软雅黑" w:hAnsi="微软雅黑" w:cs="微软雅黑"/>
          <w:sz w:val="36"/>
          <w:szCs w:val="36"/>
        </w:rPr>
        <w:t>11、竞价室查看</w:t>
      </w:r>
      <w:bookmarkEnd w:id="10"/>
    </w:p>
    <w:p w14:paraId="28EE47C0">
      <w:pPr>
        <w:ind w:firstLine="480" w:firstLineChars="200"/>
      </w:pPr>
      <w:r>
        <w:rPr>
          <w:rFonts w:hint="eastAsia"/>
        </w:rPr>
        <w:t>竞价项目在开始竞价过程中，业主单位可进入到竞价室，查看已报名的中介机构出价情况，但无法看到价格，只能看到是否出价。入口在管理平台首页【今日选取】菜单进入。</w:t>
      </w:r>
    </w:p>
    <w:p w14:paraId="0F224879">
      <w:r>
        <w:drawing>
          <wp:inline distT="0" distB="0" distL="114300" distR="114300">
            <wp:extent cx="6116955" cy="1423035"/>
            <wp:effectExtent l="0" t="0" r="1714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a:stretch>
                      <a:fillRect/>
                    </a:stretch>
                  </pic:blipFill>
                  <pic:spPr>
                    <a:xfrm>
                      <a:off x="0" y="0"/>
                      <a:ext cx="6116955" cy="1423035"/>
                    </a:xfrm>
                    <a:prstGeom prst="rect">
                      <a:avLst/>
                    </a:prstGeom>
                    <a:noFill/>
                    <a:ln>
                      <a:noFill/>
                    </a:ln>
                  </pic:spPr>
                </pic:pic>
              </a:graphicData>
            </a:graphic>
          </wp:inline>
        </w:drawing>
      </w:r>
    </w:p>
    <w:p w14:paraId="52948612">
      <w:r>
        <w:drawing>
          <wp:inline distT="0" distB="0" distL="114300" distR="114300">
            <wp:extent cx="6112510" cy="1010920"/>
            <wp:effectExtent l="0" t="0" r="2540"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0"/>
                    <a:stretch>
                      <a:fillRect/>
                    </a:stretch>
                  </pic:blipFill>
                  <pic:spPr>
                    <a:xfrm>
                      <a:off x="0" y="0"/>
                      <a:ext cx="6112510" cy="1010920"/>
                    </a:xfrm>
                    <a:prstGeom prst="rect">
                      <a:avLst/>
                    </a:prstGeom>
                    <a:noFill/>
                    <a:ln>
                      <a:noFill/>
                    </a:ln>
                  </pic:spPr>
                </pic:pic>
              </a:graphicData>
            </a:graphic>
          </wp:inline>
        </w:drawing>
      </w:r>
    </w:p>
    <w:p w14:paraId="187BF1B2">
      <w:r>
        <w:drawing>
          <wp:inline distT="0" distB="0" distL="114300" distR="114300">
            <wp:extent cx="6116320" cy="3588385"/>
            <wp:effectExtent l="0" t="0" r="1778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1"/>
                    <a:stretch>
                      <a:fillRect/>
                    </a:stretch>
                  </pic:blipFill>
                  <pic:spPr>
                    <a:xfrm>
                      <a:off x="0" y="0"/>
                      <a:ext cx="6116320" cy="3588385"/>
                    </a:xfrm>
                    <a:prstGeom prst="rect">
                      <a:avLst/>
                    </a:prstGeom>
                    <a:noFill/>
                    <a:ln>
                      <a:noFill/>
                    </a:ln>
                  </pic:spPr>
                </pic:pic>
              </a:graphicData>
            </a:graphic>
          </wp:inline>
        </w:drawing>
      </w:r>
    </w:p>
    <w:p w14:paraId="3C12E7BF"/>
    <w:p w14:paraId="30AAE6B2">
      <w:pPr>
        <w:outlineLvl w:val="0"/>
        <w:rPr>
          <w:rFonts w:ascii="微软雅黑" w:hAnsi="微软雅黑" w:cs="微软雅黑"/>
          <w:sz w:val="36"/>
          <w:szCs w:val="36"/>
        </w:rPr>
      </w:pPr>
      <w:bookmarkStart w:id="11" w:name="_Toc4968"/>
      <w:r>
        <w:rPr>
          <w:rFonts w:hint="eastAsia" w:ascii="微软雅黑" w:hAnsi="微软雅黑" w:cs="微软雅黑"/>
          <w:sz w:val="36"/>
          <w:szCs w:val="36"/>
        </w:rPr>
        <w:t>12、随机选取中介机构</w:t>
      </w:r>
      <w:bookmarkEnd w:id="11"/>
    </w:p>
    <w:p w14:paraId="73E30FD2">
      <w:pPr>
        <w:ind w:firstLine="480" w:firstLineChars="200"/>
      </w:pPr>
      <w:r>
        <w:rPr>
          <w:rFonts w:hint="eastAsia"/>
        </w:rPr>
        <w:t>项目选取过程中，其中随机选取和竞价（二次选取）业主可自行抽取中选中介机构，入口在管理平台首页【今日选取】菜单进入。</w:t>
      </w:r>
    </w:p>
    <w:p w14:paraId="0F28BF0B"/>
    <w:p w14:paraId="27A2DA48">
      <w:r>
        <w:drawing>
          <wp:inline distT="0" distB="0" distL="114300" distR="114300">
            <wp:extent cx="6116955" cy="1718310"/>
            <wp:effectExtent l="0" t="0" r="17145" b="152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14:paraId="425247A3">
      <w:pPr>
        <w:ind w:firstLine="480" w:firstLineChars="200"/>
      </w:pPr>
      <w:r>
        <w:rPr>
          <w:rFonts w:hint="eastAsia"/>
        </w:rPr>
        <w:t>在今日待选取列表中，操作列中显示有</w:t>
      </w:r>
      <w:r>
        <w:drawing>
          <wp:inline distT="0" distB="0" distL="114300" distR="114300">
            <wp:extent cx="523875" cy="15240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3"/>
                    <a:stretch>
                      <a:fillRect/>
                    </a:stretch>
                  </pic:blipFill>
                  <pic:spPr>
                    <a:xfrm>
                      <a:off x="0" y="0"/>
                      <a:ext cx="523875" cy="152400"/>
                    </a:xfrm>
                    <a:prstGeom prst="rect">
                      <a:avLst/>
                    </a:prstGeom>
                    <a:noFill/>
                    <a:ln>
                      <a:noFill/>
                    </a:ln>
                  </pic:spPr>
                </pic:pic>
              </a:graphicData>
            </a:graphic>
          </wp:inline>
        </w:drawing>
      </w:r>
      <w:r>
        <w:rPr>
          <w:rFonts w:hint="eastAsia"/>
        </w:rPr>
        <w:t>和</w:t>
      </w:r>
      <w:r>
        <w:drawing>
          <wp:inline distT="0" distB="0" distL="114300" distR="114300">
            <wp:extent cx="495300" cy="180975"/>
            <wp:effectExtent l="0" t="0" r="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4"/>
                    <a:stretch>
                      <a:fillRect/>
                    </a:stretch>
                  </pic:blipFill>
                  <pic:spPr>
                    <a:xfrm>
                      <a:off x="0" y="0"/>
                      <a:ext cx="495300" cy="180975"/>
                    </a:xfrm>
                    <a:prstGeom prst="rect">
                      <a:avLst/>
                    </a:prstGeom>
                    <a:noFill/>
                    <a:ln>
                      <a:noFill/>
                    </a:ln>
                  </pic:spPr>
                </pic:pic>
              </a:graphicData>
            </a:graphic>
          </wp:inline>
        </w:drawing>
      </w:r>
      <w:r>
        <w:rPr>
          <w:rFonts w:hint="eastAsia"/>
        </w:rPr>
        <w:t>操作按钮的，为业主可自行抽取中选中介机构的项目，点击对应按钮都是进入到随机选取界面。</w:t>
      </w:r>
    </w:p>
    <w:p w14:paraId="46314E94">
      <w:r>
        <w:drawing>
          <wp:inline distT="0" distB="0" distL="114300" distR="114300">
            <wp:extent cx="6115050" cy="1446530"/>
            <wp:effectExtent l="0" t="0" r="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5"/>
                    <a:stretch>
                      <a:fillRect/>
                    </a:stretch>
                  </pic:blipFill>
                  <pic:spPr>
                    <a:xfrm>
                      <a:off x="0" y="0"/>
                      <a:ext cx="6115050" cy="1446530"/>
                    </a:xfrm>
                    <a:prstGeom prst="rect">
                      <a:avLst/>
                    </a:prstGeom>
                    <a:noFill/>
                    <a:ln>
                      <a:noFill/>
                    </a:ln>
                  </pic:spPr>
                </pic:pic>
              </a:graphicData>
            </a:graphic>
          </wp:inline>
        </w:drawing>
      </w:r>
    </w:p>
    <w:p w14:paraId="713409AA">
      <w:r>
        <w:drawing>
          <wp:inline distT="0" distB="0" distL="114300" distR="114300">
            <wp:extent cx="6113145" cy="2395220"/>
            <wp:effectExtent l="0" t="0" r="1905"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6"/>
                    <a:stretch>
                      <a:fillRect/>
                    </a:stretch>
                  </pic:blipFill>
                  <pic:spPr>
                    <a:xfrm>
                      <a:off x="0" y="0"/>
                      <a:ext cx="6113145" cy="2395220"/>
                    </a:xfrm>
                    <a:prstGeom prst="rect">
                      <a:avLst/>
                    </a:prstGeom>
                    <a:noFill/>
                    <a:ln>
                      <a:noFill/>
                    </a:ln>
                  </pic:spPr>
                </pic:pic>
              </a:graphicData>
            </a:graphic>
          </wp:inline>
        </w:drawing>
      </w:r>
    </w:p>
    <w:p w14:paraId="774C8021">
      <w:r>
        <w:drawing>
          <wp:inline distT="0" distB="0" distL="114300" distR="114300">
            <wp:extent cx="6109970" cy="2365375"/>
            <wp:effectExtent l="0" t="0" r="5080" b="158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47"/>
                    <a:stretch>
                      <a:fillRect/>
                    </a:stretch>
                  </pic:blipFill>
                  <pic:spPr>
                    <a:xfrm>
                      <a:off x="0" y="0"/>
                      <a:ext cx="6109970" cy="2365375"/>
                    </a:xfrm>
                    <a:prstGeom prst="rect">
                      <a:avLst/>
                    </a:prstGeom>
                    <a:noFill/>
                    <a:ln>
                      <a:noFill/>
                    </a:ln>
                  </pic:spPr>
                </pic:pic>
              </a:graphicData>
            </a:graphic>
          </wp:inline>
        </w:drawing>
      </w:r>
    </w:p>
    <w:p w14:paraId="2FF0C5DB">
      <w:pPr>
        <w:ind w:firstLine="480" w:firstLineChars="200"/>
      </w:pPr>
      <w:r>
        <w:rPr>
          <w:rFonts w:hint="eastAsia"/>
        </w:rPr>
        <w:t>在摇号界面中，点击摇号区域【开始】按钮进行抽取动作，点击【结束】按钮结束抽取动作，系统产生结果。</w:t>
      </w:r>
    </w:p>
    <w:p w14:paraId="29AADB7F"/>
    <w:p w14:paraId="58C6BB41">
      <w:pPr>
        <w:outlineLvl w:val="0"/>
      </w:pPr>
      <w:bookmarkStart w:id="12" w:name="_Toc12120"/>
      <w:r>
        <w:rPr>
          <w:rFonts w:hint="eastAsia" w:ascii="微软雅黑" w:hAnsi="微软雅黑" w:cs="微软雅黑"/>
          <w:sz w:val="36"/>
          <w:szCs w:val="36"/>
        </w:rPr>
        <w:t>13、择优选取中介机构</w:t>
      </w:r>
      <w:bookmarkEnd w:id="12"/>
    </w:p>
    <w:p w14:paraId="69CA007A">
      <w:pPr>
        <w:ind w:firstLine="480" w:firstLineChars="200"/>
      </w:pPr>
      <w:r>
        <w:rPr>
          <w:rFonts w:hint="eastAsia"/>
        </w:rPr>
        <w:t>项目选取过程中，其中择优选取需要业主自行从报名的中介机构中选出服务中介机构，入口在管理平台首页【今日选取】菜单进入。</w:t>
      </w:r>
    </w:p>
    <w:p w14:paraId="3B35D3FB">
      <w:r>
        <w:drawing>
          <wp:inline distT="0" distB="0" distL="114300" distR="114300">
            <wp:extent cx="6116955" cy="1718310"/>
            <wp:effectExtent l="0" t="0" r="17145" b="152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14:paraId="465C033F">
      <w:r>
        <w:drawing>
          <wp:inline distT="0" distB="0" distL="114300" distR="114300">
            <wp:extent cx="6115050" cy="1113155"/>
            <wp:effectExtent l="0" t="0" r="0" b="1079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8"/>
                    <a:stretch>
                      <a:fillRect/>
                    </a:stretch>
                  </pic:blipFill>
                  <pic:spPr>
                    <a:xfrm>
                      <a:off x="0" y="0"/>
                      <a:ext cx="6115050" cy="1113155"/>
                    </a:xfrm>
                    <a:prstGeom prst="rect">
                      <a:avLst/>
                    </a:prstGeom>
                    <a:noFill/>
                    <a:ln>
                      <a:noFill/>
                    </a:ln>
                  </pic:spPr>
                </pic:pic>
              </a:graphicData>
            </a:graphic>
          </wp:inline>
        </w:drawing>
      </w:r>
    </w:p>
    <w:p w14:paraId="4CB4C1DC">
      <w:r>
        <w:rPr>
          <w:rFonts w:hint="eastAsia"/>
        </w:rPr>
        <w:t>通过选择中选机构按钮，进入到报名的机构列表：</w:t>
      </w:r>
    </w:p>
    <w:p w14:paraId="042C50D1">
      <w:r>
        <w:drawing>
          <wp:inline distT="0" distB="0" distL="114300" distR="114300">
            <wp:extent cx="6115685" cy="1391920"/>
            <wp:effectExtent l="0" t="0" r="18415"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9"/>
                    <a:stretch>
                      <a:fillRect/>
                    </a:stretch>
                  </pic:blipFill>
                  <pic:spPr>
                    <a:xfrm>
                      <a:off x="0" y="0"/>
                      <a:ext cx="6115685" cy="1391920"/>
                    </a:xfrm>
                    <a:prstGeom prst="rect">
                      <a:avLst/>
                    </a:prstGeom>
                    <a:noFill/>
                    <a:ln>
                      <a:noFill/>
                    </a:ln>
                  </pic:spPr>
                </pic:pic>
              </a:graphicData>
            </a:graphic>
          </wp:inline>
        </w:drawing>
      </w:r>
    </w:p>
    <w:p w14:paraId="709DD519">
      <w:r>
        <w:rPr>
          <w:rFonts w:hint="eastAsia"/>
        </w:rPr>
        <w:t>在查看界面中，若要选中当前机构为中选机构，</w:t>
      </w:r>
      <w:r>
        <w:rPr>
          <w:rFonts w:hint="eastAsia"/>
          <w:lang w:val="en-US" w:eastAsia="zh-CN"/>
        </w:rPr>
        <w:t>请先上传【择优选取最终依据】，然后</w:t>
      </w:r>
      <w:r>
        <w:rPr>
          <w:rFonts w:hint="eastAsia"/>
        </w:rPr>
        <w:t>点击页面下方的【选择当前机构作为项目中选机构】按钮即可。</w:t>
      </w:r>
    </w:p>
    <w:p w14:paraId="408BDF4A">
      <w:r>
        <w:rPr/>
        <w:drawing>
          <wp:inline distT="0" distB="0" distL="114300" distR="114300">
            <wp:extent cx="6115685" cy="2673350"/>
            <wp:effectExtent l="0" t="0" r="18415" b="1270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0"/>
                    <a:stretch>
                      <a:fillRect/>
                    </a:stretch>
                  </pic:blipFill>
                  <pic:spPr>
                    <a:xfrm>
                      <a:off x="0" y="0"/>
                      <a:ext cx="6115685" cy="2673350"/>
                    </a:xfrm>
                    <a:prstGeom prst="rect">
                      <a:avLst/>
                    </a:prstGeom>
                    <a:noFill/>
                    <a:ln>
                      <a:noFill/>
                    </a:ln>
                  </pic:spPr>
                </pic:pic>
              </a:graphicData>
            </a:graphic>
          </wp:inline>
        </w:drawing>
      </w:r>
      <w:bookmarkStart w:id="21" w:name="_GoBack"/>
      <w:bookmarkEnd w:id="21"/>
    </w:p>
    <w:p w14:paraId="7069724D"/>
    <w:p w14:paraId="66BC8122">
      <w:pPr>
        <w:outlineLvl w:val="0"/>
      </w:pPr>
      <w:bookmarkStart w:id="13" w:name="_Toc25166"/>
      <w:r>
        <w:rPr>
          <w:rFonts w:hint="eastAsia" w:ascii="微软雅黑" w:hAnsi="微软雅黑" w:cs="微软雅黑"/>
          <w:sz w:val="36"/>
          <w:szCs w:val="36"/>
        </w:rPr>
        <w:t>14、直接选取中介机构</w:t>
      </w:r>
      <w:bookmarkEnd w:id="13"/>
    </w:p>
    <w:p w14:paraId="579144BD">
      <w:pPr>
        <w:ind w:firstLine="480" w:firstLineChars="200"/>
      </w:pPr>
      <w:r>
        <w:rPr>
          <w:rFonts w:hint="eastAsia"/>
        </w:rPr>
        <w:t>项目选取过程中，其中直接选取需要业主自行从项目申报填写时就从中介机构库中选出服务中介机构，入口在【申请项目】-【选取相关】项中进行指定。</w:t>
      </w:r>
      <w:r>
        <w:rPr>
          <w:rFonts w:hint="eastAsia"/>
          <w:color w:val="FF0000"/>
        </w:rPr>
        <w:t>注意：在项目符合招投标、政府采购法律法规规定的前提下，政府性资金项目业主提交民主决策(该民主决策应包含竞争性谈判小组或询价小组在不少于3家中介服务机构中选择其中1家成为成交候选人的讨论过程，但符合单一来源采购条件的除外)证明材料后，可在中介超市直接选取中介服务机构。也可通过民主决策遂选多家(应不少于3家，因项目的特殊性只能从有限的中介机构中采购的除外)中介服务机构参与，通过随机、竞价、询价等方式选取中介服务机构。社会性资金项目无需民主决策，可按上述方式直接选取中介服务机构。（参与单位：海州区涉审中介改革工作领导小组成员单位）</w:t>
      </w:r>
      <w:r>
        <w:rPr>
          <w:rFonts w:hint="eastAsia"/>
        </w:rPr>
        <w:t>。</w:t>
      </w:r>
    </w:p>
    <w:p w14:paraId="6F4D35BC">
      <w:r>
        <w:drawing>
          <wp:inline distT="0" distB="0" distL="114300" distR="114300">
            <wp:extent cx="6120130" cy="1153795"/>
            <wp:effectExtent l="0" t="0" r="13970"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1"/>
                    <a:stretch>
                      <a:fillRect/>
                    </a:stretch>
                  </pic:blipFill>
                  <pic:spPr>
                    <a:xfrm>
                      <a:off x="0" y="0"/>
                      <a:ext cx="6120130" cy="1153795"/>
                    </a:xfrm>
                    <a:prstGeom prst="rect">
                      <a:avLst/>
                    </a:prstGeom>
                    <a:noFill/>
                    <a:ln>
                      <a:noFill/>
                    </a:ln>
                  </pic:spPr>
                </pic:pic>
              </a:graphicData>
            </a:graphic>
          </wp:inline>
        </w:drawing>
      </w:r>
    </w:p>
    <w:p w14:paraId="64E651D8"/>
    <w:p w14:paraId="67B8ADAB"/>
    <w:p w14:paraId="2FBBC100"/>
    <w:p w14:paraId="65ECDF34"/>
    <w:p w14:paraId="254382B7"/>
    <w:p w14:paraId="77F012D6">
      <w:r>
        <w:drawing>
          <wp:inline distT="0" distB="0" distL="114300" distR="114300">
            <wp:extent cx="6116320" cy="6109335"/>
            <wp:effectExtent l="0" t="0" r="1778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2"/>
                    <a:stretch>
                      <a:fillRect/>
                    </a:stretch>
                  </pic:blipFill>
                  <pic:spPr>
                    <a:xfrm>
                      <a:off x="0" y="0"/>
                      <a:ext cx="6116320" cy="6109335"/>
                    </a:xfrm>
                    <a:prstGeom prst="rect">
                      <a:avLst/>
                    </a:prstGeom>
                    <a:noFill/>
                    <a:ln>
                      <a:noFill/>
                    </a:ln>
                  </pic:spPr>
                </pic:pic>
              </a:graphicData>
            </a:graphic>
          </wp:inline>
        </w:drawing>
      </w:r>
    </w:p>
    <w:p w14:paraId="61D8AECF">
      <w:r>
        <w:drawing>
          <wp:inline distT="0" distB="0" distL="114300" distR="114300">
            <wp:extent cx="6113145" cy="1870075"/>
            <wp:effectExtent l="0" t="0" r="1905" b="1587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6113145" cy="1870075"/>
                    </a:xfrm>
                    <a:prstGeom prst="rect">
                      <a:avLst/>
                    </a:prstGeom>
                    <a:noFill/>
                    <a:ln>
                      <a:noFill/>
                    </a:ln>
                  </pic:spPr>
                </pic:pic>
              </a:graphicData>
            </a:graphic>
          </wp:inline>
        </w:drawing>
      </w:r>
    </w:p>
    <w:p w14:paraId="7D2FC356"/>
    <w:p w14:paraId="6840CC33"/>
    <w:p w14:paraId="64312A1E"/>
    <w:p w14:paraId="0A477110"/>
    <w:p w14:paraId="60161F81"/>
    <w:p w14:paraId="147C726C">
      <w:pPr>
        <w:outlineLvl w:val="0"/>
      </w:pPr>
      <w:bookmarkStart w:id="14" w:name="_Toc26442"/>
      <w:r>
        <w:rPr>
          <w:rFonts w:hint="eastAsia" w:ascii="微软雅黑" w:hAnsi="微软雅黑" w:cs="微软雅黑"/>
          <w:sz w:val="36"/>
          <w:szCs w:val="36"/>
        </w:rPr>
        <w:t>15、确认项目选取结果</w:t>
      </w:r>
      <w:bookmarkEnd w:id="14"/>
    </w:p>
    <w:p w14:paraId="625C5D06">
      <w:pPr>
        <w:ind w:firstLine="480" w:firstLineChars="200"/>
      </w:pPr>
      <w:r>
        <w:rPr>
          <w:rFonts w:hint="eastAsia"/>
        </w:rPr>
        <w:t>项目选取如果非业主平台自行进行选取动作的情况下，每一个项目的选取结果都需要业主点击确认后，中介超市管理人员能发布成交公示，业主需及时确认项目选取结果。入口在首页【选取确认】菜单中进入，如果有需要确认的项目会有小角标提示。</w:t>
      </w:r>
    </w:p>
    <w:p w14:paraId="10CBE72B">
      <w:r>
        <w:drawing>
          <wp:inline distT="0" distB="0" distL="114300" distR="114300">
            <wp:extent cx="6119495" cy="995045"/>
            <wp:effectExtent l="0" t="0" r="1460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4"/>
                    <a:stretch>
                      <a:fillRect/>
                    </a:stretch>
                  </pic:blipFill>
                  <pic:spPr>
                    <a:xfrm>
                      <a:off x="0" y="0"/>
                      <a:ext cx="6119495" cy="995045"/>
                    </a:xfrm>
                    <a:prstGeom prst="rect">
                      <a:avLst/>
                    </a:prstGeom>
                    <a:noFill/>
                    <a:ln>
                      <a:noFill/>
                    </a:ln>
                  </pic:spPr>
                </pic:pic>
              </a:graphicData>
            </a:graphic>
          </wp:inline>
        </w:drawing>
      </w:r>
    </w:p>
    <w:p w14:paraId="796A19E1">
      <w:r>
        <w:drawing>
          <wp:inline distT="0" distB="0" distL="114300" distR="114300">
            <wp:extent cx="6114415" cy="604520"/>
            <wp:effectExtent l="0" t="0" r="635" b="50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6114415" cy="604520"/>
                    </a:xfrm>
                    <a:prstGeom prst="rect">
                      <a:avLst/>
                    </a:prstGeom>
                    <a:noFill/>
                    <a:ln>
                      <a:noFill/>
                    </a:ln>
                  </pic:spPr>
                </pic:pic>
              </a:graphicData>
            </a:graphic>
          </wp:inline>
        </w:drawing>
      </w:r>
    </w:p>
    <w:p w14:paraId="0DA9CEBE">
      <w:r>
        <w:drawing>
          <wp:inline distT="0" distB="0" distL="114300" distR="114300">
            <wp:extent cx="6114415" cy="5594350"/>
            <wp:effectExtent l="0" t="0" r="635" b="635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6"/>
                    <a:stretch>
                      <a:fillRect/>
                    </a:stretch>
                  </pic:blipFill>
                  <pic:spPr>
                    <a:xfrm>
                      <a:off x="0" y="0"/>
                      <a:ext cx="6114415" cy="5594350"/>
                    </a:xfrm>
                    <a:prstGeom prst="rect">
                      <a:avLst/>
                    </a:prstGeom>
                    <a:noFill/>
                    <a:ln>
                      <a:noFill/>
                    </a:ln>
                  </pic:spPr>
                </pic:pic>
              </a:graphicData>
            </a:graphic>
          </wp:inline>
        </w:drawing>
      </w:r>
    </w:p>
    <w:p w14:paraId="74292830">
      <w:pPr>
        <w:outlineLvl w:val="0"/>
      </w:pPr>
      <w:bookmarkStart w:id="15" w:name="_Toc10291"/>
      <w:r>
        <w:rPr>
          <w:rFonts w:hint="eastAsia" w:ascii="微软雅黑" w:hAnsi="微软雅黑" w:cs="微软雅黑"/>
          <w:sz w:val="36"/>
          <w:szCs w:val="36"/>
        </w:rPr>
        <w:t>16、发放项目《中选通知书》</w:t>
      </w:r>
      <w:bookmarkEnd w:id="15"/>
    </w:p>
    <w:p w14:paraId="6D0A6A71">
      <w:pPr>
        <w:ind w:firstLine="480" w:firstLineChars="200"/>
      </w:pPr>
      <w:r>
        <w:rPr>
          <w:rFonts w:hint="eastAsia"/>
        </w:rPr>
        <w:t>当项目选取确认完成后，业主需要在首页右侧“项目选取后”板块下的“中选通知书发放”中，对于已经中选的项目，导出对应的《中选通知书》，加盖公章后，重新上传至系统。之后，系统会自动将已经加盖公章的《中选通知书》发放给对应中选的中介机构。</w:t>
      </w:r>
    </w:p>
    <w:p w14:paraId="288DF225">
      <w:r>
        <w:drawing>
          <wp:inline distT="0" distB="0" distL="0" distR="0">
            <wp:extent cx="6120130" cy="1004570"/>
            <wp:effectExtent l="0" t="0" r="0" b="5080"/>
            <wp:docPr id="184156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1556" name="图片 1"/>
                    <pic:cNvPicPr>
                      <a:picLocks noChangeAspect="1"/>
                    </pic:cNvPicPr>
                  </pic:nvPicPr>
                  <pic:blipFill>
                    <a:blip r:embed="rId57"/>
                    <a:stretch>
                      <a:fillRect/>
                    </a:stretch>
                  </pic:blipFill>
                  <pic:spPr>
                    <a:xfrm>
                      <a:off x="0" y="0"/>
                      <a:ext cx="6120130" cy="1004570"/>
                    </a:xfrm>
                    <a:prstGeom prst="rect">
                      <a:avLst/>
                    </a:prstGeom>
                  </pic:spPr>
                </pic:pic>
              </a:graphicData>
            </a:graphic>
          </wp:inline>
        </w:drawing>
      </w:r>
    </w:p>
    <w:p w14:paraId="18DDEC13">
      <w:r>
        <w:drawing>
          <wp:inline distT="0" distB="0" distL="0" distR="0">
            <wp:extent cx="6120130" cy="1461135"/>
            <wp:effectExtent l="0" t="0" r="0" b="5715"/>
            <wp:docPr id="5527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8639" name="图片 1"/>
                    <pic:cNvPicPr>
                      <a:picLocks noChangeAspect="1"/>
                    </pic:cNvPicPr>
                  </pic:nvPicPr>
                  <pic:blipFill>
                    <a:blip r:embed="rId58"/>
                    <a:stretch>
                      <a:fillRect/>
                    </a:stretch>
                  </pic:blipFill>
                  <pic:spPr>
                    <a:xfrm>
                      <a:off x="0" y="0"/>
                      <a:ext cx="6120130" cy="1461135"/>
                    </a:xfrm>
                    <a:prstGeom prst="rect">
                      <a:avLst/>
                    </a:prstGeom>
                  </pic:spPr>
                </pic:pic>
              </a:graphicData>
            </a:graphic>
          </wp:inline>
        </w:drawing>
      </w:r>
    </w:p>
    <w:p w14:paraId="3EDEBE51">
      <w:r>
        <w:drawing>
          <wp:inline distT="0" distB="0" distL="0" distR="0">
            <wp:extent cx="6120130" cy="2855595"/>
            <wp:effectExtent l="0" t="0" r="0" b="1905"/>
            <wp:docPr id="1938659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9854" name="图片 1"/>
                    <pic:cNvPicPr>
                      <a:picLocks noChangeAspect="1"/>
                    </pic:cNvPicPr>
                  </pic:nvPicPr>
                  <pic:blipFill>
                    <a:blip r:embed="rId59"/>
                    <a:stretch>
                      <a:fillRect/>
                    </a:stretch>
                  </pic:blipFill>
                  <pic:spPr>
                    <a:xfrm>
                      <a:off x="0" y="0"/>
                      <a:ext cx="6120130" cy="2855595"/>
                    </a:xfrm>
                    <a:prstGeom prst="rect">
                      <a:avLst/>
                    </a:prstGeom>
                  </pic:spPr>
                </pic:pic>
              </a:graphicData>
            </a:graphic>
          </wp:inline>
        </w:drawing>
      </w:r>
    </w:p>
    <w:p w14:paraId="70792524"/>
    <w:p w14:paraId="2BBE1B3A">
      <w:pPr>
        <w:outlineLvl w:val="0"/>
      </w:pPr>
      <w:bookmarkStart w:id="16" w:name="_Toc14737"/>
      <w:r>
        <w:rPr>
          <w:rFonts w:hint="eastAsia" w:ascii="微软雅黑" w:hAnsi="微软雅黑" w:cs="微软雅黑"/>
          <w:sz w:val="36"/>
          <w:szCs w:val="36"/>
        </w:rPr>
        <w:t>17、合同备案审核/延期</w:t>
      </w:r>
      <w:bookmarkEnd w:id="16"/>
    </w:p>
    <w:p w14:paraId="25F07186">
      <w:pPr>
        <w:ind w:firstLine="480" w:firstLineChars="200"/>
      </w:pPr>
      <w:r>
        <w:rPr>
          <w:rFonts w:hint="eastAsia"/>
        </w:rPr>
        <w:t>中选机构会对已签订的项目合同在系统进行备案。备案后业主可查看备案材料，若有问题可主动将备案退回，让中选机构重新完善。如果因项目实际原因，导致无法与中选机构及时签订合同，可以在业主管理平台为中选机构进行合同备案延期操作。入口通过首页的【合同备案确认】菜单进入。</w:t>
      </w:r>
    </w:p>
    <w:p w14:paraId="08D1E539">
      <w:r>
        <w:drawing>
          <wp:inline distT="0" distB="0" distL="114300" distR="114300">
            <wp:extent cx="6114415" cy="796290"/>
            <wp:effectExtent l="0" t="0" r="635"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60"/>
                    <a:stretch>
                      <a:fillRect/>
                    </a:stretch>
                  </pic:blipFill>
                  <pic:spPr>
                    <a:xfrm>
                      <a:off x="0" y="0"/>
                      <a:ext cx="6114415" cy="796290"/>
                    </a:xfrm>
                    <a:prstGeom prst="rect">
                      <a:avLst/>
                    </a:prstGeom>
                    <a:noFill/>
                    <a:ln>
                      <a:noFill/>
                    </a:ln>
                  </pic:spPr>
                </pic:pic>
              </a:graphicData>
            </a:graphic>
          </wp:inline>
        </w:drawing>
      </w:r>
    </w:p>
    <w:p w14:paraId="1B2E8D9A">
      <w:r>
        <w:drawing>
          <wp:inline distT="0" distB="0" distL="114300" distR="114300">
            <wp:extent cx="6118860" cy="939800"/>
            <wp:effectExtent l="0" t="0" r="15240" b="1270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1"/>
                    <a:stretch>
                      <a:fillRect/>
                    </a:stretch>
                  </pic:blipFill>
                  <pic:spPr>
                    <a:xfrm>
                      <a:off x="0" y="0"/>
                      <a:ext cx="6118860" cy="939800"/>
                    </a:xfrm>
                    <a:prstGeom prst="rect">
                      <a:avLst/>
                    </a:prstGeom>
                    <a:noFill/>
                    <a:ln>
                      <a:noFill/>
                    </a:ln>
                  </pic:spPr>
                </pic:pic>
              </a:graphicData>
            </a:graphic>
          </wp:inline>
        </w:drawing>
      </w:r>
    </w:p>
    <w:p w14:paraId="56F63F25">
      <w:r>
        <w:drawing>
          <wp:inline distT="0" distB="0" distL="114300" distR="114300">
            <wp:extent cx="6112510" cy="2594610"/>
            <wp:effectExtent l="0" t="0" r="2540" b="1524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62"/>
                    <a:stretch>
                      <a:fillRect/>
                    </a:stretch>
                  </pic:blipFill>
                  <pic:spPr>
                    <a:xfrm>
                      <a:off x="0" y="0"/>
                      <a:ext cx="6112510" cy="2594610"/>
                    </a:xfrm>
                    <a:prstGeom prst="rect">
                      <a:avLst/>
                    </a:prstGeom>
                    <a:noFill/>
                    <a:ln>
                      <a:noFill/>
                    </a:ln>
                  </pic:spPr>
                </pic:pic>
              </a:graphicData>
            </a:graphic>
          </wp:inline>
        </w:drawing>
      </w:r>
    </w:p>
    <w:p w14:paraId="1350A67D"/>
    <w:p w14:paraId="4C3C1572">
      <w:r>
        <w:drawing>
          <wp:inline distT="0" distB="0" distL="114300" distR="114300">
            <wp:extent cx="6117590" cy="1180465"/>
            <wp:effectExtent l="0" t="0" r="16510" b="63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63"/>
                    <a:stretch>
                      <a:fillRect/>
                    </a:stretch>
                  </pic:blipFill>
                  <pic:spPr>
                    <a:xfrm>
                      <a:off x="0" y="0"/>
                      <a:ext cx="6117590" cy="1180465"/>
                    </a:xfrm>
                    <a:prstGeom prst="rect">
                      <a:avLst/>
                    </a:prstGeom>
                    <a:noFill/>
                    <a:ln>
                      <a:noFill/>
                    </a:ln>
                  </pic:spPr>
                </pic:pic>
              </a:graphicData>
            </a:graphic>
          </wp:inline>
        </w:drawing>
      </w:r>
    </w:p>
    <w:p w14:paraId="19188F9C"/>
    <w:p w14:paraId="219BD258">
      <w:r>
        <w:drawing>
          <wp:inline distT="0" distB="0" distL="114300" distR="114300">
            <wp:extent cx="6118225" cy="4754245"/>
            <wp:effectExtent l="0" t="0" r="15875" b="825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64"/>
                    <a:stretch>
                      <a:fillRect/>
                    </a:stretch>
                  </pic:blipFill>
                  <pic:spPr>
                    <a:xfrm>
                      <a:off x="0" y="0"/>
                      <a:ext cx="6118225" cy="4754245"/>
                    </a:xfrm>
                    <a:prstGeom prst="rect">
                      <a:avLst/>
                    </a:prstGeom>
                    <a:noFill/>
                    <a:ln>
                      <a:noFill/>
                    </a:ln>
                  </pic:spPr>
                </pic:pic>
              </a:graphicData>
            </a:graphic>
          </wp:inline>
        </w:drawing>
      </w:r>
    </w:p>
    <w:p w14:paraId="2CD06A2B">
      <w:pPr>
        <w:outlineLvl w:val="0"/>
      </w:pPr>
      <w:bookmarkStart w:id="17" w:name="_Toc32285"/>
      <w:r>
        <w:rPr>
          <w:rFonts w:hint="eastAsia" w:ascii="微软雅黑" w:hAnsi="微软雅黑" w:cs="微软雅黑"/>
          <w:sz w:val="36"/>
          <w:szCs w:val="36"/>
        </w:rPr>
        <w:t>18、服务成果备案审核/延期</w:t>
      </w:r>
      <w:bookmarkEnd w:id="17"/>
    </w:p>
    <w:p w14:paraId="53B9F0EF">
      <w:pPr>
        <w:ind w:firstLine="480" w:firstLineChars="200"/>
      </w:pPr>
      <w:r>
        <w:rPr>
          <w:rFonts w:hint="eastAsia"/>
        </w:rPr>
        <w:t>中选机构会对已完成的项目服务成果在系统进行备案。备案后业主可查看备案材料，若有问题可主动将备案退回，让中选机构重新完善。如果因项目实际原因，导致无法及时完成成项目，可以在业主管理平台为中选机构进行服务成果备案延期操作。入口通过首页的【服务成果确认】菜单进入。</w:t>
      </w:r>
    </w:p>
    <w:p w14:paraId="25707E99">
      <w:r>
        <w:drawing>
          <wp:inline distT="0" distB="0" distL="114300" distR="114300">
            <wp:extent cx="6117590" cy="1243330"/>
            <wp:effectExtent l="0" t="0" r="16510" b="139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65"/>
                    <a:stretch>
                      <a:fillRect/>
                    </a:stretch>
                  </pic:blipFill>
                  <pic:spPr>
                    <a:xfrm>
                      <a:off x="0" y="0"/>
                      <a:ext cx="6117590" cy="1243330"/>
                    </a:xfrm>
                    <a:prstGeom prst="rect">
                      <a:avLst/>
                    </a:prstGeom>
                    <a:noFill/>
                    <a:ln>
                      <a:noFill/>
                    </a:ln>
                  </pic:spPr>
                </pic:pic>
              </a:graphicData>
            </a:graphic>
          </wp:inline>
        </w:drawing>
      </w:r>
    </w:p>
    <w:p w14:paraId="1FA5C3C3">
      <w:r>
        <w:drawing>
          <wp:inline distT="0" distB="0" distL="114300" distR="114300">
            <wp:extent cx="6116955" cy="1722755"/>
            <wp:effectExtent l="0" t="0" r="17145" b="1079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66"/>
                    <a:stretch>
                      <a:fillRect/>
                    </a:stretch>
                  </pic:blipFill>
                  <pic:spPr>
                    <a:xfrm>
                      <a:off x="0" y="0"/>
                      <a:ext cx="6116955" cy="1722755"/>
                    </a:xfrm>
                    <a:prstGeom prst="rect">
                      <a:avLst/>
                    </a:prstGeom>
                    <a:noFill/>
                    <a:ln>
                      <a:noFill/>
                    </a:ln>
                  </pic:spPr>
                </pic:pic>
              </a:graphicData>
            </a:graphic>
          </wp:inline>
        </w:drawing>
      </w:r>
    </w:p>
    <w:p w14:paraId="6DEE4BEF">
      <w:r>
        <w:drawing>
          <wp:inline distT="0" distB="0" distL="114300" distR="114300">
            <wp:extent cx="6115685" cy="3571875"/>
            <wp:effectExtent l="0" t="0" r="18415" b="952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67"/>
                    <a:stretch>
                      <a:fillRect/>
                    </a:stretch>
                  </pic:blipFill>
                  <pic:spPr>
                    <a:xfrm>
                      <a:off x="0" y="0"/>
                      <a:ext cx="6115685" cy="3571875"/>
                    </a:xfrm>
                    <a:prstGeom prst="rect">
                      <a:avLst/>
                    </a:prstGeom>
                    <a:noFill/>
                    <a:ln>
                      <a:noFill/>
                    </a:ln>
                  </pic:spPr>
                </pic:pic>
              </a:graphicData>
            </a:graphic>
          </wp:inline>
        </w:drawing>
      </w:r>
    </w:p>
    <w:p w14:paraId="18C42F5B"/>
    <w:p w14:paraId="5EDF69FE"/>
    <w:p w14:paraId="02A1E632">
      <w:r>
        <w:drawing>
          <wp:inline distT="0" distB="0" distL="114300" distR="114300">
            <wp:extent cx="6116320" cy="1487170"/>
            <wp:effectExtent l="0" t="0" r="17780" b="1778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8"/>
                    <a:stretch>
                      <a:fillRect/>
                    </a:stretch>
                  </pic:blipFill>
                  <pic:spPr>
                    <a:xfrm>
                      <a:off x="0" y="0"/>
                      <a:ext cx="6116320" cy="1487170"/>
                    </a:xfrm>
                    <a:prstGeom prst="rect">
                      <a:avLst/>
                    </a:prstGeom>
                    <a:noFill/>
                    <a:ln>
                      <a:noFill/>
                    </a:ln>
                  </pic:spPr>
                </pic:pic>
              </a:graphicData>
            </a:graphic>
          </wp:inline>
        </w:drawing>
      </w:r>
    </w:p>
    <w:p w14:paraId="2FFC964D">
      <w:r>
        <w:drawing>
          <wp:inline distT="0" distB="0" distL="114300" distR="114300">
            <wp:extent cx="6116320" cy="4099560"/>
            <wp:effectExtent l="0" t="0" r="17780" b="1524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69"/>
                    <a:stretch>
                      <a:fillRect/>
                    </a:stretch>
                  </pic:blipFill>
                  <pic:spPr>
                    <a:xfrm>
                      <a:off x="0" y="0"/>
                      <a:ext cx="6116320" cy="4099560"/>
                    </a:xfrm>
                    <a:prstGeom prst="rect">
                      <a:avLst/>
                    </a:prstGeom>
                    <a:noFill/>
                    <a:ln>
                      <a:noFill/>
                    </a:ln>
                  </pic:spPr>
                </pic:pic>
              </a:graphicData>
            </a:graphic>
          </wp:inline>
        </w:drawing>
      </w:r>
    </w:p>
    <w:p w14:paraId="58117714"/>
    <w:p w14:paraId="6A397B31">
      <w:pPr>
        <w:outlineLvl w:val="0"/>
      </w:pPr>
      <w:bookmarkStart w:id="18" w:name="_Toc10164"/>
      <w:r>
        <w:rPr>
          <w:rFonts w:hint="eastAsia" w:ascii="微软雅黑" w:hAnsi="微软雅黑" w:cs="微软雅黑"/>
          <w:sz w:val="36"/>
          <w:szCs w:val="36"/>
        </w:rPr>
        <w:t>19、项目变更</w:t>
      </w:r>
      <w:bookmarkEnd w:id="18"/>
    </w:p>
    <w:p w14:paraId="6B92DB7E">
      <w:pPr>
        <w:ind w:firstLine="480" w:firstLineChars="200"/>
      </w:pPr>
      <w:r>
        <w:rPr>
          <w:rFonts w:hint="eastAsia"/>
        </w:rPr>
        <w:t>项目选取过程，项目参数等信息可能会发现变化，这个时候业主可以对已报审选取的项目进行变更申请。变更分为“选取之前的变更” 和  “完成选取之后的变更”两种模式。变更需要上传加该公章的变更说明。</w:t>
      </w:r>
    </w:p>
    <w:p w14:paraId="328D7A3B">
      <w:pPr>
        <w:ind w:firstLine="480" w:firstLineChars="200"/>
      </w:pPr>
      <w:r>
        <w:rPr>
          <w:rFonts w:hint="eastAsia"/>
          <w:b/>
          <w:bCs/>
        </w:rPr>
        <w:t>选取之前的变更</w:t>
      </w:r>
      <w:r>
        <w:rPr>
          <w:rFonts w:hint="eastAsia"/>
        </w:rPr>
        <w:t>，原则上可变更项目所有信息，如基本资料、报名条件。</w:t>
      </w:r>
    </w:p>
    <w:p w14:paraId="0A69077D">
      <w:pPr>
        <w:ind w:firstLine="480" w:firstLineChars="200"/>
      </w:pPr>
      <w:r>
        <w:rPr>
          <w:rFonts w:hint="eastAsia"/>
          <w:b/>
          <w:bCs/>
        </w:rPr>
        <w:t>完成选取之后的变更</w:t>
      </w:r>
      <w:r>
        <w:rPr>
          <w:rFonts w:hint="eastAsia"/>
        </w:rPr>
        <w:t>，只能变更文字表述项的内容，如项目名称、项目地址、项目简介、服务内容等文字表述项。其他如报名条件、事项、资质条件等信息是无法变更的。</w:t>
      </w:r>
    </w:p>
    <w:p w14:paraId="439CC11C">
      <w:pPr>
        <w:ind w:firstLine="480" w:firstLineChars="200"/>
      </w:pPr>
      <w:r>
        <w:rPr>
          <w:rFonts w:hint="eastAsia"/>
        </w:rPr>
        <w:t>变更的入口可以通过首页【项目列表】或左导航【项目管理】-【项目列表】进入到项目管理列表界面，在该列表界面中，切换到“已通过”的项目标签中，在操作列中有【变更】操作按钮。</w:t>
      </w:r>
    </w:p>
    <w:p w14:paraId="6A5BABBF">
      <w:r>
        <w:drawing>
          <wp:inline distT="0" distB="0" distL="114300" distR="114300">
            <wp:extent cx="5762625" cy="1657350"/>
            <wp:effectExtent l="0" t="0" r="9525"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70"/>
                    <a:stretch>
                      <a:fillRect/>
                    </a:stretch>
                  </pic:blipFill>
                  <pic:spPr>
                    <a:xfrm>
                      <a:off x="0" y="0"/>
                      <a:ext cx="5762625" cy="1657350"/>
                    </a:xfrm>
                    <a:prstGeom prst="rect">
                      <a:avLst/>
                    </a:prstGeom>
                    <a:noFill/>
                    <a:ln>
                      <a:noFill/>
                    </a:ln>
                  </pic:spPr>
                </pic:pic>
              </a:graphicData>
            </a:graphic>
          </wp:inline>
        </w:drawing>
      </w:r>
    </w:p>
    <w:p w14:paraId="133057E5">
      <w:r>
        <w:drawing>
          <wp:inline distT="0" distB="0" distL="114300" distR="114300">
            <wp:extent cx="6116955" cy="2517140"/>
            <wp:effectExtent l="0" t="0" r="17145" b="1651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71"/>
                    <a:stretch>
                      <a:fillRect/>
                    </a:stretch>
                  </pic:blipFill>
                  <pic:spPr>
                    <a:xfrm>
                      <a:off x="0" y="0"/>
                      <a:ext cx="6116955" cy="2517140"/>
                    </a:xfrm>
                    <a:prstGeom prst="rect">
                      <a:avLst/>
                    </a:prstGeom>
                    <a:noFill/>
                    <a:ln>
                      <a:noFill/>
                    </a:ln>
                  </pic:spPr>
                </pic:pic>
              </a:graphicData>
            </a:graphic>
          </wp:inline>
        </w:drawing>
      </w:r>
    </w:p>
    <w:p w14:paraId="25254F26">
      <w:pPr>
        <w:ind w:firstLine="480" w:firstLineChars="200"/>
      </w:pPr>
      <w:r>
        <w:rPr>
          <w:rFonts w:hint="eastAsia"/>
        </w:rPr>
        <w:t>项目信息变更后，系统将会生成变更记录，</w:t>
      </w:r>
      <w:r>
        <w:rPr>
          <w:rFonts w:hint="eastAsia"/>
          <w:b/>
          <w:bCs/>
        </w:rPr>
        <w:t>选取之前的变更</w:t>
      </w:r>
      <w:r>
        <w:rPr>
          <w:rFonts w:hint="eastAsia"/>
        </w:rPr>
        <w:t>记录需要报送给中介超市管理员进行审核。</w:t>
      </w:r>
      <w:r>
        <w:rPr>
          <w:rFonts w:hint="eastAsia"/>
          <w:b/>
          <w:bCs/>
        </w:rPr>
        <w:t>完成选取之后的变更</w:t>
      </w:r>
      <w:r>
        <w:rPr>
          <w:rFonts w:hint="eastAsia"/>
        </w:rPr>
        <w:t>记录需要报送给中选机构，由中选机构确认知悉变更后，在由系统自动报送给中介超市管理员进行审核。两种方试的变更都将进行挂网公示。变更记录的报送入口在首页【项目变更记录】菜单中进入查看并进行报送操作。</w:t>
      </w:r>
    </w:p>
    <w:p w14:paraId="264FBF47">
      <w:r>
        <w:drawing>
          <wp:inline distT="0" distB="0" distL="114300" distR="114300">
            <wp:extent cx="6115685" cy="1190625"/>
            <wp:effectExtent l="0" t="0" r="18415" b="952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72"/>
                    <a:stretch>
                      <a:fillRect/>
                    </a:stretch>
                  </pic:blipFill>
                  <pic:spPr>
                    <a:xfrm>
                      <a:off x="0" y="0"/>
                      <a:ext cx="6115685" cy="1190625"/>
                    </a:xfrm>
                    <a:prstGeom prst="rect">
                      <a:avLst/>
                    </a:prstGeom>
                    <a:noFill/>
                    <a:ln>
                      <a:noFill/>
                    </a:ln>
                  </pic:spPr>
                </pic:pic>
              </a:graphicData>
            </a:graphic>
          </wp:inline>
        </w:drawing>
      </w:r>
    </w:p>
    <w:p w14:paraId="731257E3">
      <w:r>
        <w:drawing>
          <wp:inline distT="0" distB="0" distL="114300" distR="114300">
            <wp:extent cx="6118225" cy="826135"/>
            <wp:effectExtent l="0" t="0" r="15875" b="1206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73"/>
                    <a:stretch>
                      <a:fillRect/>
                    </a:stretch>
                  </pic:blipFill>
                  <pic:spPr>
                    <a:xfrm>
                      <a:off x="0" y="0"/>
                      <a:ext cx="6118225" cy="826135"/>
                    </a:xfrm>
                    <a:prstGeom prst="rect">
                      <a:avLst/>
                    </a:prstGeom>
                    <a:noFill/>
                    <a:ln>
                      <a:noFill/>
                    </a:ln>
                  </pic:spPr>
                </pic:pic>
              </a:graphicData>
            </a:graphic>
          </wp:inline>
        </w:drawing>
      </w:r>
    </w:p>
    <w:p w14:paraId="72971477">
      <w:r>
        <w:drawing>
          <wp:inline distT="0" distB="0" distL="114300" distR="114300">
            <wp:extent cx="6117590" cy="1961515"/>
            <wp:effectExtent l="0" t="0" r="16510" b="63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74"/>
                    <a:stretch>
                      <a:fillRect/>
                    </a:stretch>
                  </pic:blipFill>
                  <pic:spPr>
                    <a:xfrm>
                      <a:off x="0" y="0"/>
                      <a:ext cx="6117590" cy="1961515"/>
                    </a:xfrm>
                    <a:prstGeom prst="rect">
                      <a:avLst/>
                    </a:prstGeom>
                    <a:noFill/>
                    <a:ln>
                      <a:noFill/>
                    </a:ln>
                  </pic:spPr>
                </pic:pic>
              </a:graphicData>
            </a:graphic>
          </wp:inline>
        </w:drawing>
      </w:r>
    </w:p>
    <w:p w14:paraId="28789E61"/>
    <w:p w14:paraId="0EE4AC57"/>
    <w:p w14:paraId="5DF403BB">
      <w:pPr>
        <w:outlineLvl w:val="0"/>
      </w:pPr>
      <w:bookmarkStart w:id="19" w:name="_Toc25003"/>
      <w:r>
        <w:rPr>
          <w:rFonts w:hint="eastAsia" w:ascii="微软雅黑" w:hAnsi="微软雅黑" w:cs="微软雅黑"/>
          <w:sz w:val="36"/>
          <w:szCs w:val="36"/>
        </w:rPr>
        <w:t>20、项目取消/中止</w:t>
      </w:r>
      <w:bookmarkEnd w:id="19"/>
    </w:p>
    <w:p w14:paraId="42624755">
      <w:pPr>
        <w:ind w:firstLine="480" w:firstLineChars="200"/>
      </w:pPr>
      <w:r>
        <w:rPr>
          <w:rFonts w:hint="eastAsia"/>
        </w:rPr>
        <w:t>项目选取过程，项目会遇到“取消”或“中止”的情况。</w:t>
      </w:r>
      <w:r>
        <w:rPr>
          <w:rFonts w:hint="eastAsia"/>
          <w:b/>
          <w:bCs/>
        </w:rPr>
        <w:t>“取消”</w:t>
      </w:r>
      <w:r>
        <w:rPr>
          <w:rFonts w:hint="eastAsia"/>
        </w:rPr>
        <w:t>为项目未完成选取中介机构的操作，还未产生中选服务机构之前为项目取消操作。</w:t>
      </w:r>
      <w:r>
        <w:rPr>
          <w:rFonts w:hint="eastAsia"/>
          <w:b/>
          <w:bCs/>
        </w:rPr>
        <w:t>“中止”</w:t>
      </w:r>
      <w:r>
        <w:rPr>
          <w:rFonts w:hint="eastAsia"/>
        </w:rPr>
        <w:t>为项目已产生中选服务机构，需要对项目进行事项服务结束的行为称为项目中止操作。取消/中止操作申请时需要上传加该公章的取消/中止说明，如果为</w:t>
      </w:r>
      <w:r>
        <w:rPr>
          <w:rFonts w:hint="eastAsia"/>
          <w:b/>
          <w:bCs/>
        </w:rPr>
        <w:t>项目中止</w:t>
      </w:r>
      <w:r>
        <w:rPr>
          <w:rFonts w:hint="eastAsia"/>
        </w:rPr>
        <w:t>的取消说明，需要业主和中选机构两方同时加盖公章的中止说明。</w:t>
      </w:r>
    </w:p>
    <w:p w14:paraId="13F5D7F8">
      <w:pPr>
        <w:ind w:firstLine="480" w:firstLineChars="200"/>
      </w:pPr>
      <w:r>
        <w:rPr>
          <w:rFonts w:hint="eastAsia"/>
          <w:b/>
          <w:bCs/>
        </w:rPr>
        <w:t>项目取消</w:t>
      </w:r>
      <w:r>
        <w:rPr>
          <w:rFonts w:hint="eastAsia"/>
        </w:rPr>
        <w:t>，还产生成中选服务机构，业主可直接在项目列表中，通过取消按钮进行取消操作。发起取消申请后，将直接报送给中介超市管理员进行审核，并进行挂网公示。</w:t>
      </w:r>
    </w:p>
    <w:p w14:paraId="7BFFC7E3">
      <w:pPr>
        <w:ind w:firstLine="480" w:firstLineChars="200"/>
      </w:pPr>
      <w:r>
        <w:rPr>
          <w:rFonts w:hint="eastAsia"/>
          <w:b/>
          <w:bCs/>
        </w:rPr>
        <w:t>项目中止</w:t>
      </w:r>
      <w:r>
        <w:rPr>
          <w:rFonts w:hint="eastAsia"/>
        </w:rPr>
        <w:t>，已产生中选服务机构，此时的中止可由业主或是中选服务机构在各自的管理平台中发起项目中止申请。如果申请发起方为业主，则需要中选服务机构确认同意；如果申请发起方为中选服务机构，则需要业主确认同意。另一方同意后，将由系统自动报送给中介超市管理员进行审核，并进行挂网公示。</w:t>
      </w:r>
    </w:p>
    <w:p w14:paraId="74B94DCA">
      <w:pPr>
        <w:ind w:firstLine="480" w:firstLineChars="200"/>
      </w:pPr>
      <w:r>
        <w:rPr>
          <w:rFonts w:hint="eastAsia"/>
          <w:b/>
          <w:bCs/>
        </w:rPr>
        <w:t>“取消”</w:t>
      </w:r>
      <w:r>
        <w:rPr>
          <w:rFonts w:hint="eastAsia"/>
        </w:rPr>
        <w:t>或</w:t>
      </w:r>
      <w:r>
        <w:rPr>
          <w:rFonts w:hint="eastAsia"/>
          <w:b/>
          <w:bCs/>
        </w:rPr>
        <w:t>“中止”</w:t>
      </w:r>
      <w:r>
        <w:rPr>
          <w:rFonts w:hint="eastAsia"/>
        </w:rPr>
        <w:t>操作的入口可以通过首页【项目列表】或左导航【项目管理】-【项目列表】进入到项目管理列表界面，在该列表界面中，切换到“已通过”的项目标签中，在操作列中统一通过【取消】按钮进行操作。同一个项目只能同时发起一次取消/中止申请，前一条取消/中止申请未通过时，无法发起新的取消。</w:t>
      </w:r>
    </w:p>
    <w:p w14:paraId="4F066F9B">
      <w:r>
        <w:drawing>
          <wp:inline distT="0" distB="0" distL="114300" distR="114300">
            <wp:extent cx="5819775" cy="2247900"/>
            <wp:effectExtent l="0" t="0" r="9525"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75"/>
                    <a:stretch>
                      <a:fillRect/>
                    </a:stretch>
                  </pic:blipFill>
                  <pic:spPr>
                    <a:xfrm>
                      <a:off x="0" y="0"/>
                      <a:ext cx="5819775" cy="2247900"/>
                    </a:xfrm>
                    <a:prstGeom prst="rect">
                      <a:avLst/>
                    </a:prstGeom>
                    <a:noFill/>
                    <a:ln>
                      <a:noFill/>
                    </a:ln>
                  </pic:spPr>
                </pic:pic>
              </a:graphicData>
            </a:graphic>
          </wp:inline>
        </w:drawing>
      </w:r>
    </w:p>
    <w:p w14:paraId="02D9D2BF">
      <w:r>
        <w:drawing>
          <wp:inline distT="0" distB="0" distL="114300" distR="114300">
            <wp:extent cx="6115050" cy="2457450"/>
            <wp:effectExtent l="0" t="0" r="0"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76"/>
                    <a:stretch>
                      <a:fillRect/>
                    </a:stretch>
                  </pic:blipFill>
                  <pic:spPr>
                    <a:xfrm>
                      <a:off x="0" y="0"/>
                      <a:ext cx="6115050" cy="2457450"/>
                    </a:xfrm>
                    <a:prstGeom prst="rect">
                      <a:avLst/>
                    </a:prstGeom>
                    <a:noFill/>
                    <a:ln>
                      <a:noFill/>
                    </a:ln>
                  </pic:spPr>
                </pic:pic>
              </a:graphicData>
            </a:graphic>
          </wp:inline>
        </w:drawing>
      </w:r>
    </w:p>
    <w:p w14:paraId="6D1AC220">
      <w:pPr>
        <w:ind w:firstLine="480" w:firstLineChars="200"/>
      </w:pPr>
      <w:r>
        <w:rPr>
          <w:rFonts w:hint="eastAsia"/>
        </w:rPr>
        <w:t>如果是还未完成选取中介服务机构的项目取消申请，可通过首页【项目取消取认】菜单入口进行查看审核进度。</w:t>
      </w:r>
    </w:p>
    <w:p w14:paraId="3670F7AD">
      <w:pPr>
        <w:ind w:firstLine="480" w:firstLineChars="200"/>
      </w:pPr>
      <w:r>
        <w:drawing>
          <wp:inline distT="0" distB="0" distL="114300" distR="114300">
            <wp:extent cx="6116320" cy="1160145"/>
            <wp:effectExtent l="0" t="0" r="17780" b="190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77"/>
                    <a:stretch>
                      <a:fillRect/>
                    </a:stretch>
                  </pic:blipFill>
                  <pic:spPr>
                    <a:xfrm>
                      <a:off x="0" y="0"/>
                      <a:ext cx="6116320" cy="1160145"/>
                    </a:xfrm>
                    <a:prstGeom prst="rect">
                      <a:avLst/>
                    </a:prstGeom>
                    <a:noFill/>
                    <a:ln>
                      <a:noFill/>
                    </a:ln>
                  </pic:spPr>
                </pic:pic>
              </a:graphicData>
            </a:graphic>
          </wp:inline>
        </w:drawing>
      </w:r>
    </w:p>
    <w:p w14:paraId="6C0E6278">
      <w:pPr>
        <w:ind w:firstLine="480" w:firstLineChars="200"/>
      </w:pPr>
      <w:r>
        <w:rPr>
          <w:rFonts w:hint="eastAsia"/>
        </w:rPr>
        <w:t>如果是选取完成后的项目中止申请，可通过首页【项目中止记录】菜单入口进行查看或审核操作。</w:t>
      </w:r>
    </w:p>
    <w:p w14:paraId="63A6BD9B">
      <w:r>
        <w:drawing>
          <wp:inline distT="0" distB="0" distL="114300" distR="114300">
            <wp:extent cx="6114415" cy="1271905"/>
            <wp:effectExtent l="0" t="0" r="635"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78"/>
                    <a:stretch>
                      <a:fillRect/>
                    </a:stretch>
                  </pic:blipFill>
                  <pic:spPr>
                    <a:xfrm>
                      <a:off x="0" y="0"/>
                      <a:ext cx="6114415" cy="1271905"/>
                    </a:xfrm>
                    <a:prstGeom prst="rect">
                      <a:avLst/>
                    </a:prstGeom>
                    <a:noFill/>
                    <a:ln>
                      <a:noFill/>
                    </a:ln>
                  </pic:spPr>
                </pic:pic>
              </a:graphicData>
            </a:graphic>
          </wp:inline>
        </w:drawing>
      </w:r>
    </w:p>
    <w:p w14:paraId="213645E3">
      <w:r>
        <w:br w:type="page"/>
      </w:r>
    </w:p>
    <w:p w14:paraId="068B81E1">
      <w:pPr>
        <w:numPr>
          <w:ilvl w:val="0"/>
          <w:numId w:val="1"/>
        </w:numPr>
        <w:jc w:val="left"/>
        <w:outlineLvl w:val="0"/>
        <w:rPr>
          <w:rFonts w:hint="eastAsia" w:ascii="微软雅黑" w:hAnsi="微软雅黑" w:cs="微软雅黑"/>
          <w:bCs/>
          <w:sz w:val="36"/>
          <w:szCs w:val="36"/>
          <w:lang w:val="en-US" w:eastAsia="zh-CN"/>
        </w:rPr>
      </w:pPr>
      <w:bookmarkStart w:id="20" w:name="_Hlk143098298"/>
      <w:r>
        <w:rPr>
          <w:rFonts w:hint="eastAsia" w:ascii="微软雅黑" w:hAnsi="微软雅黑" w:cs="微软雅黑"/>
          <w:bCs/>
          <w:sz w:val="36"/>
          <w:szCs w:val="36"/>
          <w:lang w:val="en-US" w:eastAsia="zh-CN"/>
        </w:rPr>
        <w:t>项目业主操作规范性手册</w:t>
      </w:r>
    </w:p>
    <w:p w14:paraId="22DC14FE">
      <w:pPr>
        <w:numPr>
          <w:ilvl w:val="0"/>
          <w:numId w:val="0"/>
        </w:numPr>
        <w:jc w:val="left"/>
        <w:outlineLvl w:val="9"/>
        <w:rPr>
          <w:rFonts w:hint="default" w:ascii="微软雅黑" w:hAnsi="微软雅黑" w:cs="微软雅黑"/>
          <w:bCs/>
          <w:sz w:val="36"/>
          <w:szCs w:val="36"/>
          <w:lang w:val="en-US" w:eastAsia="zh-CN"/>
        </w:rPr>
      </w:pPr>
    </w:p>
    <w:p w14:paraId="42EF6DF0">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海州区中介超市服务管理平台</w:t>
      </w:r>
    </w:p>
    <w:p w14:paraId="4E7A41DE">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项目业主操作规范性手册</w:t>
      </w:r>
    </w:p>
    <w:bookmarkEnd w:id="20"/>
    <w:p w14:paraId="08ECD933">
      <w:pPr>
        <w:ind w:firstLine="560" w:firstLineChars="200"/>
        <w:rPr>
          <w:rFonts w:ascii="仿宋" w:hAnsi="仿宋" w:eastAsia="仿宋"/>
          <w:sz w:val="28"/>
          <w:szCs w:val="28"/>
        </w:rPr>
      </w:pPr>
    </w:p>
    <w:p w14:paraId="2DA482D2">
      <w:pPr>
        <w:ind w:firstLine="560" w:firstLineChars="200"/>
        <w:rPr>
          <w:rFonts w:ascii="仿宋" w:hAnsi="仿宋" w:eastAsia="仿宋"/>
          <w:sz w:val="28"/>
          <w:szCs w:val="28"/>
        </w:rPr>
      </w:pPr>
      <w:r>
        <w:rPr>
          <w:rFonts w:hint="eastAsia" w:ascii="仿宋" w:hAnsi="仿宋" w:eastAsia="仿宋"/>
          <w:sz w:val="28"/>
          <w:szCs w:val="28"/>
        </w:rPr>
        <w:t>为规范海州区中介超市服务管理平台项目业主操作流程，增加项目发布审核通过性，根据平台上线以来常见问题，特制定本操作手册。</w:t>
      </w:r>
    </w:p>
    <w:p w14:paraId="74D74F20">
      <w:pPr>
        <w:ind w:left="560"/>
        <w:rPr>
          <w:rFonts w:ascii="仿宋" w:hAnsi="仿宋" w:eastAsia="仿宋"/>
          <w:b/>
          <w:bCs/>
          <w:sz w:val="28"/>
          <w:szCs w:val="28"/>
        </w:rPr>
      </w:pPr>
      <w:r>
        <w:rPr>
          <w:rFonts w:hint="eastAsia" w:ascii="仿宋" w:hAnsi="仿宋" w:eastAsia="仿宋"/>
          <w:b/>
          <w:bCs/>
          <w:sz w:val="28"/>
          <w:szCs w:val="28"/>
        </w:rPr>
        <w:t>一、平台业务受理范围</w:t>
      </w:r>
    </w:p>
    <w:p w14:paraId="07FCEF5F">
      <w:pPr>
        <w:ind w:firstLine="560" w:firstLineChars="200"/>
        <w:rPr>
          <w:rFonts w:ascii="仿宋" w:hAnsi="仿宋" w:eastAsia="仿宋"/>
          <w:sz w:val="28"/>
          <w:szCs w:val="28"/>
        </w:rPr>
      </w:pPr>
      <w:r>
        <w:rPr>
          <w:rFonts w:hint="eastAsia" w:ascii="仿宋" w:hAnsi="仿宋" w:eastAsia="仿宋"/>
          <w:sz w:val="28"/>
          <w:szCs w:val="28"/>
        </w:rPr>
        <w:t>海州区中介超市服务管理平台业务受理范围为采购代理类、监理类、审计类、可行性研究报告类等中介服务事项，非中介类服务事项不在本平台业务受理范围内（中介类服务事项主要是指需要通过第三方的专业知识和技术服务，向委托人提供公正性、代理性、技术服务性等相关的报告或证明文件；项目业主也可登录系统通过【服务指南】中的【中介服务事项清单】查看所需服务是否在清单之内）。</w:t>
      </w:r>
    </w:p>
    <w:p w14:paraId="14E84039">
      <w:pPr>
        <w:ind w:firstLine="562" w:firstLineChars="200"/>
        <w:rPr>
          <w:rFonts w:ascii="仿宋" w:hAnsi="仿宋" w:eastAsia="仿宋"/>
          <w:b/>
          <w:bCs/>
          <w:sz w:val="28"/>
          <w:szCs w:val="28"/>
        </w:rPr>
      </w:pPr>
      <w:r>
        <w:rPr>
          <w:rFonts w:hint="eastAsia" w:ascii="仿宋" w:hAnsi="仿宋" w:eastAsia="仿宋"/>
          <w:b/>
          <w:bCs/>
          <w:sz w:val="28"/>
          <w:szCs w:val="28"/>
        </w:rPr>
        <w:t>二、项目发布填报规范性说明</w:t>
      </w:r>
    </w:p>
    <w:p w14:paraId="5FF2053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基本情况部分填写规范</w:t>
      </w:r>
    </w:p>
    <w:p w14:paraId="7B41A35C">
      <w:pPr>
        <w:ind w:firstLine="560" w:firstLineChars="200"/>
        <w:rPr>
          <w:rFonts w:ascii="仿宋" w:hAnsi="仿宋" w:eastAsia="仿宋"/>
          <w:sz w:val="28"/>
          <w:szCs w:val="28"/>
        </w:rPr>
      </w:pPr>
      <w:r>
        <w:rPr>
          <w:rFonts w:hint="eastAsia" w:ascii="仿宋" w:hAnsi="仿宋" w:eastAsia="仿宋"/>
          <w:sz w:val="28"/>
          <w:szCs w:val="28"/>
        </w:rPr>
        <w:t>项目业主在进行项目填报时需对项目名称及项目简介进行规范化填写，具体填写规范请参考以下示例：</w:t>
      </w:r>
    </w:p>
    <w:p w14:paraId="7EBF7958">
      <w:pPr>
        <w:jc w:val="left"/>
        <w:rPr>
          <w:rFonts w:ascii="仿宋" w:hAnsi="仿宋" w:eastAsia="仿宋"/>
          <w:sz w:val="28"/>
          <w:szCs w:val="28"/>
        </w:rPr>
      </w:pPr>
    </w:p>
    <w:p w14:paraId="2043370C">
      <w:pPr>
        <w:jc w:val="center"/>
        <w:rPr>
          <w:rFonts w:ascii="仿宋" w:hAnsi="仿宋" w:eastAsia="仿宋"/>
          <w:sz w:val="28"/>
          <w:szCs w:val="28"/>
        </w:rPr>
      </w:pPr>
    </w:p>
    <w:p w14:paraId="21B24B68">
      <w:pPr>
        <w:jc w:val="center"/>
        <w:rPr>
          <w:rFonts w:ascii="仿宋" w:hAnsi="仿宋" w:eastAsia="仿宋"/>
          <w:sz w:val="28"/>
          <w:szCs w:val="28"/>
        </w:rPr>
      </w:pPr>
      <w:r>
        <w:rPr>
          <w:rFonts w:hint="eastAsia" w:ascii="仿宋" w:hAnsi="仿宋" w:eastAsia="仿宋"/>
          <w:sz w:val="28"/>
          <w:szCs w:val="28"/>
        </w:rPr>
        <w:drawing>
          <wp:inline distT="0" distB="0" distL="0" distR="0">
            <wp:extent cx="4250690" cy="3337560"/>
            <wp:effectExtent l="0" t="0" r="16510" b="15240"/>
            <wp:docPr id="365905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556" name="图片 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251264" cy="3337560"/>
                    </a:xfrm>
                    <a:prstGeom prst="rect">
                      <a:avLst/>
                    </a:prstGeom>
                  </pic:spPr>
                </pic:pic>
              </a:graphicData>
            </a:graphic>
          </wp:inline>
        </w:drawing>
      </w:r>
    </w:p>
    <w:p w14:paraId="1A9DC131">
      <w:pPr>
        <w:ind w:firstLine="560" w:firstLineChars="200"/>
        <w:rPr>
          <w:rFonts w:ascii="仿宋" w:hAnsi="仿宋" w:eastAsia="仿宋"/>
          <w:sz w:val="28"/>
          <w:szCs w:val="28"/>
        </w:rPr>
      </w:pPr>
      <w:r>
        <w:rPr>
          <w:rFonts w:ascii="仿宋" w:hAnsi="仿宋" w:eastAsia="仿宋"/>
          <w:sz w:val="28"/>
          <w:szCs w:val="28"/>
        </w:rPr>
        <w:t>2.</w:t>
      </w:r>
      <w:r>
        <w:rPr>
          <w:rFonts w:hint="eastAsia"/>
        </w:rPr>
        <w:t xml:space="preserve"> </w:t>
      </w:r>
      <w:r>
        <w:rPr>
          <w:rFonts w:hint="eastAsia" w:ascii="仿宋" w:hAnsi="仿宋" w:eastAsia="仿宋"/>
          <w:sz w:val="28"/>
          <w:szCs w:val="28"/>
        </w:rPr>
        <w:t>选取相关部分填写规范</w:t>
      </w:r>
    </w:p>
    <w:p w14:paraId="21AF0881">
      <w:pPr>
        <w:ind w:firstLine="560" w:firstLineChars="200"/>
        <w:rPr>
          <w:rFonts w:ascii="仿宋" w:hAnsi="仿宋" w:eastAsia="仿宋"/>
          <w:sz w:val="28"/>
          <w:szCs w:val="28"/>
        </w:rPr>
      </w:pPr>
      <w:r>
        <w:rPr>
          <w:rFonts w:hint="eastAsia" w:ascii="仿宋" w:hAnsi="仿宋" w:eastAsia="仿宋"/>
          <w:sz w:val="28"/>
          <w:szCs w:val="28"/>
        </w:rPr>
        <w:t>（1）选取方式选择：项目业主在项目发布填报时，需谨慎选择选取方式，因平台审核通过后，此项将不可修改，请核实确认后进行选择（各选取方式说明请参考本手册第三条选择选取方式规范性说明内容）。</w:t>
      </w:r>
    </w:p>
    <w:p w14:paraId="2AE757D5">
      <w:pPr>
        <w:ind w:firstLine="560" w:firstLineChars="200"/>
        <w:rPr>
          <w:rFonts w:ascii="仿宋" w:hAnsi="仿宋" w:eastAsia="仿宋"/>
          <w:sz w:val="28"/>
          <w:szCs w:val="28"/>
        </w:rPr>
      </w:pPr>
      <w:r>
        <w:rPr>
          <w:rFonts w:hint="eastAsia" w:ascii="仿宋" w:hAnsi="仿宋" w:eastAsia="仿宋"/>
          <w:sz w:val="28"/>
          <w:szCs w:val="28"/>
        </w:rPr>
        <w:t>（2）所需中介服务事项、所需资质、资质等级选择：项目业主要根据自身所需中介服务内容，选择对应的中介服务事项，并选择对应的中介服务资质及资质等级（如果有）。</w:t>
      </w:r>
    </w:p>
    <w:p w14:paraId="4AC74383">
      <w:pPr>
        <w:ind w:firstLine="560" w:firstLineChars="200"/>
        <w:rPr>
          <w:rFonts w:ascii="仿宋" w:hAnsi="仿宋" w:eastAsia="仿宋"/>
          <w:sz w:val="28"/>
          <w:szCs w:val="28"/>
        </w:rPr>
      </w:pPr>
      <w:r>
        <w:rPr>
          <w:rFonts w:hint="eastAsia" w:ascii="仿宋" w:hAnsi="仿宋" w:eastAsia="仿宋"/>
          <w:sz w:val="28"/>
          <w:szCs w:val="28"/>
        </w:rPr>
        <w:t>（3）资质分组选择：项目填报过程中如需对报名资质条件有要求，需要设定资质组别。目前平台共开设有三个分组：A组、B组、C组。若同一项目需要指定中介服务机构满足两个以上的资质条件，则所有资质条件需设置在同一个分组内，中介服务机构需要满足该分组内所有的资质条件才可能报名。如果所需资质设置在不同的组别中，表示中介服务机构只需要满足A组资质、B组资质或者C组资质其中之一即可以参与报名。此功能可配合应用于除直接选取方式以外的其它选取方式使用。</w:t>
      </w:r>
    </w:p>
    <w:p w14:paraId="7684655D">
      <w:pPr>
        <w:ind w:firstLine="560" w:firstLineChars="200"/>
        <w:rPr>
          <w:rFonts w:ascii="仿宋" w:hAnsi="仿宋" w:eastAsia="仿宋"/>
          <w:sz w:val="28"/>
          <w:szCs w:val="28"/>
        </w:rPr>
      </w:pPr>
      <w:r>
        <w:rPr>
          <w:rFonts w:hint="eastAsia" w:ascii="仿宋" w:hAnsi="仿宋" w:eastAsia="仿宋"/>
          <w:sz w:val="28"/>
          <w:szCs w:val="28"/>
        </w:rPr>
        <w:t>（4）关联项目选择：项目业主有A、B两个项目需选取中介服务机构，且要求两个项目不得为同一家中介服务机构中选，业主单位在填报</w:t>
      </w:r>
      <w:r>
        <w:rPr>
          <w:rFonts w:ascii="仿宋" w:hAnsi="仿宋" w:eastAsia="仿宋"/>
          <w:sz w:val="28"/>
          <w:szCs w:val="28"/>
        </w:rPr>
        <w:t>A</w:t>
      </w:r>
      <w:r>
        <w:rPr>
          <w:rFonts w:hint="eastAsia" w:ascii="仿宋" w:hAnsi="仿宋" w:eastAsia="仿宋"/>
          <w:sz w:val="28"/>
          <w:szCs w:val="28"/>
        </w:rPr>
        <w:t>项目时，选择关联</w:t>
      </w:r>
      <w:r>
        <w:rPr>
          <w:rFonts w:ascii="仿宋" w:hAnsi="仿宋" w:eastAsia="仿宋"/>
          <w:sz w:val="28"/>
          <w:szCs w:val="28"/>
        </w:rPr>
        <w:t>B</w:t>
      </w:r>
      <w:r>
        <w:rPr>
          <w:rFonts w:hint="eastAsia" w:ascii="仿宋" w:hAnsi="仿宋" w:eastAsia="仿宋"/>
          <w:sz w:val="28"/>
          <w:szCs w:val="28"/>
        </w:rPr>
        <w:t>项目，则系统可以自动避免出现两个项目为同一中介服务机构中选的情况。此功能可配合应用于除直接选取方式以外的其它选取方式使用。</w:t>
      </w:r>
    </w:p>
    <w:p w14:paraId="0B5F9A49">
      <w:pPr>
        <w:ind w:firstLine="560" w:firstLineChars="200"/>
        <w:rPr>
          <w:rFonts w:ascii="仿宋" w:hAnsi="仿宋" w:eastAsia="仿宋"/>
          <w:sz w:val="28"/>
          <w:szCs w:val="28"/>
        </w:rPr>
      </w:pPr>
      <w:r>
        <w:rPr>
          <w:rFonts w:hint="eastAsia" w:ascii="仿宋" w:hAnsi="仿宋" w:eastAsia="仿宋"/>
          <w:sz w:val="28"/>
          <w:szCs w:val="28"/>
        </w:rPr>
        <w:t>（5）报名回避的中介选择：此功能适用在特殊情况下，需要回避指定的中介服务机构。如选择此功能，项目业主需要填写回避说明，被回避的中介服务机构无法报名参与该项目。此功能可配合应用于除直接选取方式以外的其它选取方式使用。</w:t>
      </w:r>
    </w:p>
    <w:p w14:paraId="70A321B5">
      <w:pPr>
        <w:ind w:firstLine="560" w:firstLineChars="200"/>
        <w:rPr>
          <w:rFonts w:ascii="仿宋" w:hAnsi="仿宋" w:eastAsia="仿宋"/>
          <w:sz w:val="28"/>
          <w:szCs w:val="28"/>
        </w:rPr>
      </w:pPr>
      <w:r>
        <w:rPr>
          <w:rFonts w:hint="eastAsia" w:ascii="仿宋" w:hAnsi="仿宋" w:eastAsia="仿宋"/>
          <w:sz w:val="28"/>
          <w:szCs w:val="28"/>
        </w:rPr>
        <w:t>（6）个性化需求选择：项目业主设置了个性化需求详细项时，如：中标通知书、项目合同、业绩报告、业主特殊要求。中介服务机构在报名时需要根据要求上传个性化需求材料，并且报名信息需要由项目业主方进行审核，只有通过审核的机构才可以参于选取。此功能可配合应用于除直接选取方式以外的其它选取方式使用。</w:t>
      </w:r>
    </w:p>
    <w:p w14:paraId="00C3B835">
      <w:pPr>
        <w:ind w:firstLine="562" w:firstLineChars="200"/>
        <w:rPr>
          <w:rFonts w:ascii="仿宋" w:hAnsi="仿宋" w:eastAsia="仿宋"/>
          <w:b/>
          <w:bCs/>
          <w:sz w:val="28"/>
          <w:szCs w:val="28"/>
        </w:rPr>
      </w:pPr>
      <w:r>
        <w:rPr>
          <w:rFonts w:hint="eastAsia" w:ascii="仿宋" w:hAnsi="仿宋" w:eastAsia="仿宋"/>
          <w:b/>
          <w:bCs/>
          <w:sz w:val="28"/>
          <w:szCs w:val="28"/>
        </w:rPr>
        <w:t>三、选择选取方式规范性说明</w:t>
      </w:r>
    </w:p>
    <w:p w14:paraId="5F32835D">
      <w:pPr>
        <w:ind w:firstLine="560" w:firstLineChars="200"/>
        <w:rPr>
          <w:rFonts w:ascii="仿宋" w:hAnsi="仿宋" w:eastAsia="仿宋"/>
          <w:sz w:val="28"/>
          <w:szCs w:val="28"/>
        </w:rPr>
      </w:pPr>
      <w:r>
        <w:rPr>
          <w:rFonts w:hint="eastAsia" w:ascii="仿宋" w:hAnsi="仿宋" w:eastAsia="仿宋"/>
          <w:sz w:val="28"/>
          <w:szCs w:val="28"/>
        </w:rPr>
        <w:t>项目业主在项目发布填报时，需谨慎选择选取方式，因平台审核通过后，此项将不可修改，请核实确认后进行选择，目前平台提供以下4种选取方式：</w:t>
      </w:r>
    </w:p>
    <w:p w14:paraId="1D3359D4">
      <w:pPr>
        <w:ind w:firstLine="560" w:firstLineChars="200"/>
        <w:outlineLvl w:val="9"/>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随机选取</w:t>
      </w:r>
    </w:p>
    <w:p w14:paraId="4F44BF8F">
      <w:pPr>
        <w:ind w:firstLine="560" w:firstLineChars="200"/>
        <w:rPr>
          <w:rFonts w:ascii="仿宋" w:hAnsi="仿宋" w:eastAsia="仿宋"/>
          <w:sz w:val="28"/>
          <w:szCs w:val="28"/>
        </w:rPr>
      </w:pPr>
      <w:r>
        <w:rPr>
          <w:rFonts w:hint="eastAsia" w:ascii="仿宋" w:hAnsi="仿宋" w:eastAsia="仿宋"/>
          <w:sz w:val="28"/>
          <w:szCs w:val="28"/>
        </w:rPr>
        <w:t>项目业主明确价格、时限、资质(资格)等选取要求，采用电脑随机摇号方式从报名且符合条件的中介服务机构中确定1家为中选方。此选取方式要求项目业主应从不少于3家报名成功的中介服务机构中确定其中1家为中选方（社会性资金除外）。</w:t>
      </w:r>
    </w:p>
    <w:p w14:paraId="37816B6E">
      <w:pPr>
        <w:ind w:firstLine="560" w:firstLineChars="200"/>
        <w:outlineLvl w:val="9"/>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择优选取</w:t>
      </w:r>
    </w:p>
    <w:p w14:paraId="36713E96">
      <w:pPr>
        <w:ind w:firstLine="560" w:firstLineChars="200"/>
        <w:outlineLvl w:val="9"/>
        <w:rPr>
          <w:rFonts w:ascii="仿宋" w:hAnsi="仿宋" w:eastAsia="仿宋"/>
          <w:sz w:val="28"/>
          <w:szCs w:val="28"/>
        </w:rPr>
      </w:pPr>
      <w:r>
        <w:rPr>
          <w:rFonts w:hint="eastAsia" w:ascii="仿宋" w:hAnsi="仿宋" w:eastAsia="仿宋"/>
          <w:sz w:val="28"/>
          <w:szCs w:val="28"/>
        </w:rPr>
        <w:t>项目业主可在报名的中介服务机构中择优选择服务优、评价高、信誉好的1家中介服务机构，此选取方式要求项目业主应从不少于3家报名成功的中介服务机构中确定其中1家为中选方（社会性资金除外）。</w:t>
      </w:r>
    </w:p>
    <w:p w14:paraId="6F50A412">
      <w:pPr>
        <w:ind w:firstLine="560" w:firstLineChars="200"/>
        <w:rPr>
          <w:rFonts w:ascii="仿宋" w:hAnsi="仿宋" w:eastAsia="仿宋"/>
          <w:sz w:val="28"/>
          <w:szCs w:val="28"/>
        </w:rPr>
      </w:pPr>
      <w:r>
        <w:rPr>
          <w:rFonts w:hint="eastAsia" w:ascii="仿宋" w:hAnsi="仿宋" w:eastAsia="仿宋"/>
          <w:sz w:val="28"/>
          <w:szCs w:val="28"/>
        </w:rPr>
        <w:t>如采用择优选取方式，项目业主需要在项目发布时通过【选取相关】页面上传择优评判办法，对自己的评判标准进行解释和说明，然后在已报名的中介服务机构中依据评判办法选择出最合适的中介服务机构，并出具相应证明。</w:t>
      </w:r>
    </w:p>
    <w:p w14:paraId="58723447">
      <w:pPr>
        <w:rPr>
          <w:rFonts w:ascii="仿宋" w:hAnsi="仿宋" w:eastAsia="仿宋"/>
          <w:sz w:val="28"/>
          <w:szCs w:val="28"/>
        </w:rPr>
      </w:pPr>
      <w:r>
        <w:rPr>
          <w:rFonts w:hint="eastAsia" w:ascii="仿宋" w:hAnsi="仿宋" w:eastAsia="仿宋"/>
          <w:sz w:val="28"/>
          <w:szCs w:val="28"/>
        </w:rPr>
        <w:drawing>
          <wp:inline distT="0" distB="0" distL="114300" distR="114300">
            <wp:extent cx="5158740" cy="1196340"/>
            <wp:effectExtent l="0" t="0" r="3810" b="3810"/>
            <wp:docPr id="37" name="图片 37" descr="169216935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2169356508"/>
                    <pic:cNvPicPr>
                      <a:picLocks noChangeAspect="1"/>
                    </pic:cNvPicPr>
                  </pic:nvPicPr>
                  <pic:blipFill>
                    <a:blip r:embed="rId80"/>
                    <a:stretch>
                      <a:fillRect/>
                    </a:stretch>
                  </pic:blipFill>
                  <pic:spPr>
                    <a:xfrm>
                      <a:off x="0" y="0"/>
                      <a:ext cx="5168378" cy="1198873"/>
                    </a:xfrm>
                    <a:prstGeom prst="rect">
                      <a:avLst/>
                    </a:prstGeom>
                  </pic:spPr>
                </pic:pic>
              </a:graphicData>
            </a:graphic>
          </wp:inline>
        </w:drawing>
      </w:r>
    </w:p>
    <w:p w14:paraId="529AF360">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直接选取</w:t>
      </w:r>
    </w:p>
    <w:p w14:paraId="468670A5">
      <w:pPr>
        <w:ind w:firstLine="560" w:firstLineChars="200"/>
        <w:rPr>
          <w:rFonts w:ascii="仿宋" w:hAnsi="仿宋" w:eastAsia="仿宋"/>
          <w:sz w:val="28"/>
          <w:szCs w:val="28"/>
        </w:rPr>
      </w:pPr>
      <w:r>
        <w:rPr>
          <w:rFonts w:hint="eastAsia" w:ascii="仿宋" w:hAnsi="仿宋" w:eastAsia="仿宋"/>
          <w:sz w:val="28"/>
          <w:szCs w:val="28"/>
        </w:rPr>
        <w:t>在项目符合招投标、政府采购法律法规规定的前提下，项目业主提交单位决策证明材料后，可在平台直接选取中介服务机构。</w:t>
      </w:r>
    </w:p>
    <w:p w14:paraId="603280F1">
      <w:pPr>
        <w:ind w:firstLine="560" w:firstLineChars="200"/>
        <w:rPr>
          <w:rFonts w:ascii="仿宋" w:hAnsi="仿宋" w:eastAsia="仿宋"/>
          <w:sz w:val="28"/>
          <w:szCs w:val="28"/>
        </w:rPr>
      </w:pPr>
      <w:r>
        <w:rPr>
          <w:rFonts w:hint="eastAsia" w:ascii="仿宋" w:hAnsi="仿宋" w:eastAsia="仿宋"/>
          <w:sz w:val="28"/>
          <w:szCs w:val="28"/>
        </w:rPr>
        <w:t>项目选取过程中需要项目业主自行在项目申报填写时直接从中介机构库中选出中介服务机构，入口在【申请项目】-【选取相关】中进行指定。再次提醒注意：此选取方式需要项目业主提交单位决策证明，并加盖印鉴扫描上传，表明通过何种原因和需求选择该家机构。</w:t>
      </w:r>
    </w:p>
    <w:p w14:paraId="11DD2903">
      <w:pPr>
        <w:rPr>
          <w:rFonts w:ascii="仿宋" w:hAnsi="仿宋" w:eastAsia="仿宋"/>
          <w:sz w:val="28"/>
          <w:szCs w:val="28"/>
        </w:rPr>
      </w:pPr>
      <w:r>
        <w:rPr>
          <w:rFonts w:ascii="仿宋" w:hAnsi="仿宋" w:eastAsia="仿宋"/>
          <w:sz w:val="28"/>
          <w:szCs w:val="28"/>
        </w:rPr>
        <w:drawing>
          <wp:inline distT="0" distB="0" distL="114300" distR="114300">
            <wp:extent cx="5193030" cy="5187315"/>
            <wp:effectExtent l="0" t="0" r="762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2"/>
                    <a:stretch>
                      <a:fillRect/>
                    </a:stretch>
                  </pic:blipFill>
                  <pic:spPr>
                    <a:xfrm>
                      <a:off x="0" y="0"/>
                      <a:ext cx="5193030" cy="5187315"/>
                    </a:xfrm>
                    <a:prstGeom prst="rect">
                      <a:avLst/>
                    </a:prstGeom>
                    <a:noFill/>
                    <a:ln>
                      <a:noFill/>
                    </a:ln>
                  </pic:spPr>
                </pic:pic>
              </a:graphicData>
            </a:graphic>
          </wp:inline>
        </w:drawing>
      </w:r>
    </w:p>
    <w:p w14:paraId="008E0695">
      <w:pPr>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竞价选取</w:t>
      </w:r>
    </w:p>
    <w:p w14:paraId="240980D3">
      <w:pPr>
        <w:widowControl/>
        <w:ind w:firstLine="560" w:firstLineChars="200"/>
        <w:jc w:val="left"/>
        <w:rPr>
          <w:rFonts w:ascii="仿宋" w:hAnsi="仿宋" w:eastAsia="仿宋"/>
          <w:sz w:val="28"/>
          <w:szCs w:val="28"/>
        </w:rPr>
      </w:pPr>
      <w:r>
        <w:rPr>
          <w:rFonts w:hint="eastAsia" w:ascii="仿宋" w:hAnsi="仿宋" w:eastAsia="仿宋"/>
          <w:sz w:val="28"/>
          <w:szCs w:val="28"/>
        </w:rPr>
        <w:t>项目业主明确选取要求，确定中介服务最高和最低限价。在符合条件且报名参与竞价的中介服务机构中，通过网上竞价方式，按最低价中选原则自动确定中选方。如最低价有2家及以上中介服务机构的，则通过随机选取方式确定1家作为中选方。此选取方式应至少有3家报名成功的中介服务机构参与竞价（社会性资金除外）。</w:t>
      </w:r>
    </w:p>
    <w:p w14:paraId="33A0E108">
      <w:pPr>
        <w:widowControl/>
        <w:ind w:firstLine="560" w:firstLineChars="200"/>
        <w:jc w:val="left"/>
        <w:rPr>
          <w:rFonts w:ascii="仿宋" w:hAnsi="仿宋" w:eastAsia="仿宋"/>
          <w:sz w:val="28"/>
          <w:szCs w:val="28"/>
        </w:rPr>
      </w:pPr>
      <w:r>
        <w:rPr>
          <w:rFonts w:hint="eastAsia" w:ascii="仿宋" w:hAnsi="仿宋" w:eastAsia="仿宋"/>
          <w:sz w:val="28"/>
          <w:szCs w:val="28"/>
        </w:rPr>
        <w:t>项目业主如果对所需中介服务的服务金额范围不是特别了解，需先进行相关市场调研，确定价格区间，也可以通过选择基准下浮率的方式确定价格区间。</w:t>
      </w:r>
    </w:p>
    <w:p w14:paraId="50083930">
      <w:pPr>
        <w:widowControl/>
        <w:ind w:firstLine="560" w:firstLineChars="200"/>
        <w:jc w:val="left"/>
        <w:rPr>
          <w:rFonts w:ascii="仿宋" w:hAnsi="仿宋" w:eastAsia="仿宋"/>
          <w:sz w:val="28"/>
          <w:szCs w:val="28"/>
        </w:rPr>
      </w:pPr>
      <w:r>
        <w:rPr>
          <w:rFonts w:hint="eastAsia" w:ascii="仿宋" w:hAnsi="仿宋" w:eastAsia="仿宋"/>
          <w:sz w:val="28"/>
          <w:szCs w:val="28"/>
        </w:rPr>
        <w:t>项目报名截止日当天下午三点整，报名成功的中介服务机构可进入竞价室进行价格竞选。竞价过程中，项目业主可进入到竞价室，查看已报名的中介机构出价情况，但无法看到具体价格，只能看到是否出价，竞价时间结束后，项目业主方可看到出价最低的中介机构及其报价。</w:t>
      </w:r>
    </w:p>
    <w:p w14:paraId="1A9DF788">
      <w:pPr>
        <w:rPr>
          <w:rFonts w:ascii="仿宋" w:hAnsi="仿宋" w:eastAsia="仿宋"/>
          <w:sz w:val="28"/>
          <w:szCs w:val="28"/>
        </w:rPr>
      </w:pPr>
      <w:r>
        <w:rPr>
          <w:rFonts w:ascii="仿宋" w:hAnsi="仿宋" w:eastAsia="仿宋"/>
          <w:sz w:val="28"/>
          <w:szCs w:val="28"/>
        </w:rPr>
        <w:drawing>
          <wp:inline distT="0" distB="0" distL="114300" distR="114300">
            <wp:extent cx="5165725" cy="854075"/>
            <wp:effectExtent l="0" t="0" r="15875" b="317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40"/>
                    <a:stretch>
                      <a:fillRect/>
                    </a:stretch>
                  </pic:blipFill>
                  <pic:spPr>
                    <a:xfrm>
                      <a:off x="0" y="0"/>
                      <a:ext cx="5172857" cy="855515"/>
                    </a:xfrm>
                    <a:prstGeom prst="rect">
                      <a:avLst/>
                    </a:prstGeom>
                    <a:noFill/>
                    <a:ln>
                      <a:noFill/>
                    </a:ln>
                  </pic:spPr>
                </pic:pic>
              </a:graphicData>
            </a:graphic>
          </wp:inline>
        </w:drawing>
      </w:r>
    </w:p>
    <w:p w14:paraId="26FAE9CA">
      <w:pPr>
        <w:jc w:val="center"/>
        <w:rPr>
          <w:rFonts w:ascii="仿宋" w:hAnsi="仿宋" w:eastAsia="仿宋"/>
          <w:sz w:val="28"/>
          <w:szCs w:val="28"/>
        </w:rPr>
      </w:pPr>
      <w:r>
        <w:rPr>
          <w:rFonts w:hint="eastAsia" w:ascii="仿宋" w:hAnsi="仿宋" w:eastAsia="仿宋"/>
          <w:sz w:val="28"/>
          <w:szCs w:val="28"/>
        </w:rPr>
        <w:drawing>
          <wp:inline distT="0" distB="0" distL="0" distR="0">
            <wp:extent cx="3945255" cy="2312670"/>
            <wp:effectExtent l="0" t="0" r="17145" b="11430"/>
            <wp:docPr id="751715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5533" name="图片 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947358" cy="2313952"/>
                    </a:xfrm>
                    <a:prstGeom prst="rect">
                      <a:avLst/>
                    </a:prstGeom>
                  </pic:spPr>
                </pic:pic>
              </a:graphicData>
            </a:graphic>
          </wp:inline>
        </w:drawing>
      </w:r>
    </w:p>
    <w:p w14:paraId="73F7A314">
      <w:pPr>
        <w:widowControl/>
        <w:ind w:firstLine="560" w:firstLineChars="200"/>
        <w:jc w:val="left"/>
        <w:rPr>
          <w:rFonts w:ascii="仿宋" w:hAnsi="仿宋" w:eastAsia="仿宋"/>
          <w:sz w:val="28"/>
          <w:szCs w:val="28"/>
        </w:rPr>
      </w:pPr>
      <w:r>
        <w:rPr>
          <w:rFonts w:hint="eastAsia" w:ascii="仿宋" w:hAnsi="仿宋" w:eastAsia="仿宋"/>
          <w:sz w:val="28"/>
          <w:szCs w:val="28"/>
        </w:rPr>
        <w:t>如果多家中介服务机构出价相同且同为最低价，则自动进入二次选取即“随机选取”，在进入二次选取的中介服务机构中随机抽取其中一家中标为项目中选机构。</w:t>
      </w:r>
    </w:p>
    <w:p w14:paraId="57515239">
      <w:pPr>
        <w:ind w:firstLine="562" w:firstLineChars="200"/>
        <w:rPr>
          <w:rFonts w:ascii="仿宋" w:hAnsi="仿宋" w:eastAsia="仿宋"/>
          <w:b/>
          <w:bCs/>
          <w:sz w:val="28"/>
          <w:szCs w:val="28"/>
        </w:rPr>
      </w:pPr>
      <w:r>
        <w:rPr>
          <w:rFonts w:hint="eastAsia" w:ascii="仿宋" w:hAnsi="仿宋" w:eastAsia="仿宋"/>
          <w:b/>
          <w:bCs/>
          <w:sz w:val="28"/>
          <w:szCs w:val="28"/>
        </w:rPr>
        <w:t>四、项目变更、退回规范性说明</w:t>
      </w:r>
    </w:p>
    <w:p w14:paraId="3859EC7B">
      <w:pPr>
        <w:widowControl/>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未公告项目的变更</w:t>
      </w:r>
    </w:p>
    <w:p w14:paraId="6AB8316D">
      <w:pPr>
        <w:widowControl/>
        <w:ind w:firstLine="560" w:firstLineChars="200"/>
        <w:jc w:val="left"/>
        <w:rPr>
          <w:rFonts w:ascii="仿宋" w:hAnsi="仿宋" w:eastAsia="仿宋"/>
          <w:sz w:val="28"/>
          <w:szCs w:val="28"/>
        </w:rPr>
      </w:pPr>
      <w:r>
        <w:rPr>
          <w:rFonts w:hint="eastAsia" w:ascii="仿宋" w:hAnsi="仿宋" w:eastAsia="仿宋"/>
          <w:sz w:val="28"/>
          <w:szCs w:val="28"/>
        </w:rPr>
        <w:t>项目业主如在项目公告前需对项目内容进行变更，需要先联系平台审核人员对项目进行退回，修改项目内容后重新提交审核。</w:t>
      </w:r>
    </w:p>
    <w:p w14:paraId="4F2A2300">
      <w:pPr>
        <w:widowControl/>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已公告项目的变更、取消</w:t>
      </w:r>
    </w:p>
    <w:p w14:paraId="6DA78D8F">
      <w:pPr>
        <w:widowControl/>
        <w:ind w:firstLine="560" w:firstLineChars="200"/>
        <w:jc w:val="left"/>
        <w:rPr>
          <w:rFonts w:hint="eastAsia" w:ascii="仿宋" w:hAnsi="仿宋" w:eastAsia="仿宋"/>
          <w:sz w:val="28"/>
          <w:szCs w:val="28"/>
        </w:rPr>
      </w:pPr>
      <w:r>
        <w:rPr>
          <w:rFonts w:hint="eastAsia" w:ascii="仿宋" w:hAnsi="仿宋" w:eastAsia="仿宋"/>
          <w:sz w:val="28"/>
          <w:szCs w:val="28"/>
        </w:rPr>
        <w:t>（1）为规范平台运行，凡是已经公告的项目如需变更选取方式、资质事项、增加个性化要求等直接影响中介服务机构报名的信息，项目业主需取消项目进行重新发布，并提供加盖印鉴的说明材料。</w:t>
      </w:r>
    </w:p>
    <w:p w14:paraId="00B34747">
      <w:pPr>
        <w:widowControl/>
        <w:ind w:firstLine="560" w:firstLineChars="200"/>
        <w:jc w:val="left"/>
        <w:rPr>
          <w:rFonts w:ascii="仿宋" w:hAnsi="仿宋" w:eastAsia="仿宋"/>
          <w:sz w:val="28"/>
          <w:szCs w:val="28"/>
        </w:rPr>
      </w:pPr>
      <w:r>
        <w:rPr>
          <w:rFonts w:hint="eastAsia" w:ascii="仿宋" w:hAnsi="仿宋" w:eastAsia="仿宋"/>
          <w:sz w:val="28"/>
          <w:szCs w:val="28"/>
        </w:rPr>
        <w:t>（2）如项目业主在公告期间要求取消项目，需提供加盖印鉴的说明材料。</w:t>
      </w:r>
    </w:p>
    <w:p w14:paraId="76036A6F"/>
    <w:sectPr>
      <w:footerReference r:id="rId4" w:type="default"/>
      <w:pgSz w:w="11906" w:h="16838"/>
      <w:pgMar w:top="850" w:right="1134" w:bottom="850"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93F9652D-106C-48DC-B88E-08ABDEC5C4FF}"/>
  </w:font>
  <w:font w:name="方正小标宋简体">
    <w:panose1 w:val="02000000000000000000"/>
    <w:charset w:val="86"/>
    <w:family w:val="script"/>
    <w:pitch w:val="default"/>
    <w:sig w:usb0="00000001" w:usb1="08000000" w:usb2="00000000" w:usb3="00000000" w:csb0="00040000" w:csb1="00000000"/>
    <w:embedRegular r:id="rId2" w:fontKey="{A260BD43-DDC2-4DAB-95AE-F3EABE52BCB9}"/>
  </w:font>
  <w:font w:name="仿宋">
    <w:panose1 w:val="02010609060101010101"/>
    <w:charset w:val="86"/>
    <w:family w:val="modern"/>
    <w:pitch w:val="default"/>
    <w:sig w:usb0="800002BF" w:usb1="38CF7CFA" w:usb2="00000016" w:usb3="00000000" w:csb0="00040001" w:csb1="00000000"/>
    <w:embedRegular r:id="rId3" w:fontKey="{CCCD3D41-EE37-4C8A-8BC0-5A4B84F90CE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488C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F6E4E">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BFAA4">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E3BFAA4">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768D87"/>
    <w:multiLevelType w:val="singleLevel"/>
    <w:tmpl w:val="66768D87"/>
    <w:lvl w:ilvl="0" w:tentative="0">
      <w:start w:val="2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dit="readOnly" w:enforcement="1" w:cryptProviderType="rsaFull" w:cryptAlgorithmClass="hash" w:cryptAlgorithmType="typeAny" w:cryptAlgorithmSid="4" w:cryptSpinCount="0" w:hash="pfxajNp0XgASbx65HgyMcMmYLzQ=" w:salt="a8cvI5fqWVq+E036hDhIKg=="/>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jYzAzNjVhMWFkNjAyNGZjZDY5ODBkN2NkYjgwYTYifQ=="/>
  </w:docVars>
  <w:rsids>
    <w:rsidRoot w:val="00AE3CA1"/>
    <w:rsid w:val="000E7B60"/>
    <w:rsid w:val="00157DF4"/>
    <w:rsid w:val="00223D3B"/>
    <w:rsid w:val="002313C8"/>
    <w:rsid w:val="002A218A"/>
    <w:rsid w:val="00411822"/>
    <w:rsid w:val="00492E86"/>
    <w:rsid w:val="00A00746"/>
    <w:rsid w:val="00AD3861"/>
    <w:rsid w:val="00AE3CA1"/>
    <w:rsid w:val="00B41B07"/>
    <w:rsid w:val="00B85F28"/>
    <w:rsid w:val="00BD10A0"/>
    <w:rsid w:val="00DB1995"/>
    <w:rsid w:val="00F40E60"/>
    <w:rsid w:val="00F6780E"/>
    <w:rsid w:val="0116705A"/>
    <w:rsid w:val="01470FE8"/>
    <w:rsid w:val="01A22C15"/>
    <w:rsid w:val="01A621CA"/>
    <w:rsid w:val="021A5AEC"/>
    <w:rsid w:val="02E1776D"/>
    <w:rsid w:val="031418F0"/>
    <w:rsid w:val="031A4A2D"/>
    <w:rsid w:val="03621775"/>
    <w:rsid w:val="037D5588"/>
    <w:rsid w:val="04447FB3"/>
    <w:rsid w:val="057952D6"/>
    <w:rsid w:val="05CB200E"/>
    <w:rsid w:val="060E7B01"/>
    <w:rsid w:val="07593D76"/>
    <w:rsid w:val="077E37DC"/>
    <w:rsid w:val="078057A6"/>
    <w:rsid w:val="078A266C"/>
    <w:rsid w:val="08816F41"/>
    <w:rsid w:val="08C61F81"/>
    <w:rsid w:val="090B5543"/>
    <w:rsid w:val="091C01AA"/>
    <w:rsid w:val="094D4668"/>
    <w:rsid w:val="09795283"/>
    <w:rsid w:val="09815806"/>
    <w:rsid w:val="09BD0BB7"/>
    <w:rsid w:val="0A546A76"/>
    <w:rsid w:val="0AD656DD"/>
    <w:rsid w:val="0B097861"/>
    <w:rsid w:val="0B152D74"/>
    <w:rsid w:val="0C7420A5"/>
    <w:rsid w:val="0D352B8F"/>
    <w:rsid w:val="0D3D2636"/>
    <w:rsid w:val="0E0B7EF7"/>
    <w:rsid w:val="0E6652FE"/>
    <w:rsid w:val="0E6F72DE"/>
    <w:rsid w:val="0EB67B94"/>
    <w:rsid w:val="0EE00602"/>
    <w:rsid w:val="0EE817C8"/>
    <w:rsid w:val="0F4E7F38"/>
    <w:rsid w:val="0FA4224E"/>
    <w:rsid w:val="0FFA33CC"/>
    <w:rsid w:val="107421D4"/>
    <w:rsid w:val="10895190"/>
    <w:rsid w:val="10AD6EE0"/>
    <w:rsid w:val="1103269D"/>
    <w:rsid w:val="112D7AC3"/>
    <w:rsid w:val="12224FE4"/>
    <w:rsid w:val="123478B9"/>
    <w:rsid w:val="12B958A6"/>
    <w:rsid w:val="12E12E71"/>
    <w:rsid w:val="12E7492B"/>
    <w:rsid w:val="12E96647"/>
    <w:rsid w:val="1303728B"/>
    <w:rsid w:val="138707CE"/>
    <w:rsid w:val="13BA0A4B"/>
    <w:rsid w:val="1424570B"/>
    <w:rsid w:val="143D4EE1"/>
    <w:rsid w:val="14AA3E63"/>
    <w:rsid w:val="14FB3CD6"/>
    <w:rsid w:val="151F4AD1"/>
    <w:rsid w:val="15DC203D"/>
    <w:rsid w:val="16010FB7"/>
    <w:rsid w:val="163A7FE7"/>
    <w:rsid w:val="164125A5"/>
    <w:rsid w:val="1706734A"/>
    <w:rsid w:val="17A6314B"/>
    <w:rsid w:val="18365B35"/>
    <w:rsid w:val="185D16BC"/>
    <w:rsid w:val="185E4A80"/>
    <w:rsid w:val="18616F2E"/>
    <w:rsid w:val="189E2829"/>
    <w:rsid w:val="197762DD"/>
    <w:rsid w:val="19AE61A3"/>
    <w:rsid w:val="1A3146DE"/>
    <w:rsid w:val="1AD03112"/>
    <w:rsid w:val="1B1C4D29"/>
    <w:rsid w:val="1B3F540B"/>
    <w:rsid w:val="1B432956"/>
    <w:rsid w:val="1B4D379A"/>
    <w:rsid w:val="1D2920FE"/>
    <w:rsid w:val="1D420560"/>
    <w:rsid w:val="1D862C8F"/>
    <w:rsid w:val="1D9B6A3E"/>
    <w:rsid w:val="1DAA0962"/>
    <w:rsid w:val="1E00075A"/>
    <w:rsid w:val="1E036392"/>
    <w:rsid w:val="1E2C20A2"/>
    <w:rsid w:val="1E30246C"/>
    <w:rsid w:val="1E3714B0"/>
    <w:rsid w:val="1E490AF9"/>
    <w:rsid w:val="1E7679C4"/>
    <w:rsid w:val="1F356A1F"/>
    <w:rsid w:val="1F372797"/>
    <w:rsid w:val="1F495E94"/>
    <w:rsid w:val="1F856665"/>
    <w:rsid w:val="1FCF5B04"/>
    <w:rsid w:val="20651B9E"/>
    <w:rsid w:val="20BA2413"/>
    <w:rsid w:val="20C64363"/>
    <w:rsid w:val="2124660D"/>
    <w:rsid w:val="218B56A2"/>
    <w:rsid w:val="21A8797C"/>
    <w:rsid w:val="21B7404D"/>
    <w:rsid w:val="21D02660"/>
    <w:rsid w:val="22371714"/>
    <w:rsid w:val="22A068A5"/>
    <w:rsid w:val="22FF181D"/>
    <w:rsid w:val="23641680"/>
    <w:rsid w:val="236C5BC2"/>
    <w:rsid w:val="23887A65"/>
    <w:rsid w:val="23926D42"/>
    <w:rsid w:val="245152C1"/>
    <w:rsid w:val="245B029D"/>
    <w:rsid w:val="2464106F"/>
    <w:rsid w:val="248625DB"/>
    <w:rsid w:val="24C0322E"/>
    <w:rsid w:val="2500187D"/>
    <w:rsid w:val="251D65D7"/>
    <w:rsid w:val="254A4AA1"/>
    <w:rsid w:val="25A64DB4"/>
    <w:rsid w:val="25AF331D"/>
    <w:rsid w:val="25C1362F"/>
    <w:rsid w:val="263B1F8F"/>
    <w:rsid w:val="264627A8"/>
    <w:rsid w:val="26A02A62"/>
    <w:rsid w:val="26D668BF"/>
    <w:rsid w:val="270E64D3"/>
    <w:rsid w:val="27375F2E"/>
    <w:rsid w:val="27DF5779"/>
    <w:rsid w:val="27E31A18"/>
    <w:rsid w:val="28E25248"/>
    <w:rsid w:val="29564161"/>
    <w:rsid w:val="29B5584F"/>
    <w:rsid w:val="29CF5885"/>
    <w:rsid w:val="2A4B359A"/>
    <w:rsid w:val="2ABC4498"/>
    <w:rsid w:val="2ADB2B70"/>
    <w:rsid w:val="2B2C3C65"/>
    <w:rsid w:val="2BBA1A67"/>
    <w:rsid w:val="2C076ACB"/>
    <w:rsid w:val="2C2C32B2"/>
    <w:rsid w:val="2C3B13EC"/>
    <w:rsid w:val="2C45434C"/>
    <w:rsid w:val="2C625CF0"/>
    <w:rsid w:val="2C664C65"/>
    <w:rsid w:val="2CB30E98"/>
    <w:rsid w:val="2CD47877"/>
    <w:rsid w:val="2D464B32"/>
    <w:rsid w:val="2D85673B"/>
    <w:rsid w:val="2DA67DB7"/>
    <w:rsid w:val="2DB707F3"/>
    <w:rsid w:val="2DCF0F58"/>
    <w:rsid w:val="2DFD2DFD"/>
    <w:rsid w:val="2E876B6B"/>
    <w:rsid w:val="2E8F2AA0"/>
    <w:rsid w:val="2EA66FF1"/>
    <w:rsid w:val="2EB771D0"/>
    <w:rsid w:val="2EBD2C9F"/>
    <w:rsid w:val="2F260132"/>
    <w:rsid w:val="2F67197A"/>
    <w:rsid w:val="30422331"/>
    <w:rsid w:val="3050190A"/>
    <w:rsid w:val="30A41335"/>
    <w:rsid w:val="30B67293"/>
    <w:rsid w:val="30C22CFC"/>
    <w:rsid w:val="30D3532B"/>
    <w:rsid w:val="314430DD"/>
    <w:rsid w:val="31994BEB"/>
    <w:rsid w:val="319E2212"/>
    <w:rsid w:val="31B639EF"/>
    <w:rsid w:val="31CA22EB"/>
    <w:rsid w:val="31D9241C"/>
    <w:rsid w:val="31E83DC4"/>
    <w:rsid w:val="324F79A0"/>
    <w:rsid w:val="32A777DC"/>
    <w:rsid w:val="32DA195F"/>
    <w:rsid w:val="33E81E5A"/>
    <w:rsid w:val="34192013"/>
    <w:rsid w:val="343535E9"/>
    <w:rsid w:val="34863867"/>
    <w:rsid w:val="34DD5737"/>
    <w:rsid w:val="34F211E2"/>
    <w:rsid w:val="34F47103"/>
    <w:rsid w:val="35325A82"/>
    <w:rsid w:val="35853FAC"/>
    <w:rsid w:val="358E07DF"/>
    <w:rsid w:val="35971A38"/>
    <w:rsid w:val="35E03756"/>
    <w:rsid w:val="367A4082"/>
    <w:rsid w:val="36DB4C9E"/>
    <w:rsid w:val="370B658B"/>
    <w:rsid w:val="370C7133"/>
    <w:rsid w:val="37647620"/>
    <w:rsid w:val="3795353A"/>
    <w:rsid w:val="37B3299D"/>
    <w:rsid w:val="37B7226F"/>
    <w:rsid w:val="37C64260"/>
    <w:rsid w:val="37FF7772"/>
    <w:rsid w:val="386012D7"/>
    <w:rsid w:val="38605879"/>
    <w:rsid w:val="3A000368"/>
    <w:rsid w:val="3A581CFB"/>
    <w:rsid w:val="3B185BF3"/>
    <w:rsid w:val="3BA40D5C"/>
    <w:rsid w:val="3BA511FF"/>
    <w:rsid w:val="3BB65A15"/>
    <w:rsid w:val="3C0E4427"/>
    <w:rsid w:val="3C4B1C3D"/>
    <w:rsid w:val="3D143CBF"/>
    <w:rsid w:val="3DF243FA"/>
    <w:rsid w:val="3E157CEF"/>
    <w:rsid w:val="3E210442"/>
    <w:rsid w:val="3E706BB8"/>
    <w:rsid w:val="3E821AE9"/>
    <w:rsid w:val="3E8F56CB"/>
    <w:rsid w:val="3EE15E23"/>
    <w:rsid w:val="3EF53FC7"/>
    <w:rsid w:val="3F0B097A"/>
    <w:rsid w:val="3F0E36DA"/>
    <w:rsid w:val="3F125FDD"/>
    <w:rsid w:val="3F1334EB"/>
    <w:rsid w:val="3FA3523C"/>
    <w:rsid w:val="3FC75019"/>
    <w:rsid w:val="40005DF6"/>
    <w:rsid w:val="40B41A41"/>
    <w:rsid w:val="40F0770A"/>
    <w:rsid w:val="412E6F23"/>
    <w:rsid w:val="41720E27"/>
    <w:rsid w:val="41984EBF"/>
    <w:rsid w:val="41A33D4E"/>
    <w:rsid w:val="42BA5938"/>
    <w:rsid w:val="42C31F66"/>
    <w:rsid w:val="430F7403"/>
    <w:rsid w:val="437B23A2"/>
    <w:rsid w:val="43D441A9"/>
    <w:rsid w:val="4414020A"/>
    <w:rsid w:val="445B70BD"/>
    <w:rsid w:val="44633BC3"/>
    <w:rsid w:val="44977C29"/>
    <w:rsid w:val="44A57DDF"/>
    <w:rsid w:val="44B85878"/>
    <w:rsid w:val="44E32333"/>
    <w:rsid w:val="44FF2277"/>
    <w:rsid w:val="453E7B2C"/>
    <w:rsid w:val="45C51FFB"/>
    <w:rsid w:val="46627A89"/>
    <w:rsid w:val="46704B5A"/>
    <w:rsid w:val="46E32699"/>
    <w:rsid w:val="474D4056"/>
    <w:rsid w:val="477B7463"/>
    <w:rsid w:val="479C4FDD"/>
    <w:rsid w:val="47EF7803"/>
    <w:rsid w:val="48E26B1E"/>
    <w:rsid w:val="492F6EEB"/>
    <w:rsid w:val="495C08EA"/>
    <w:rsid w:val="49857EE8"/>
    <w:rsid w:val="49B06F76"/>
    <w:rsid w:val="4A0F5F3A"/>
    <w:rsid w:val="4A221E03"/>
    <w:rsid w:val="4A4400C5"/>
    <w:rsid w:val="4AE756F2"/>
    <w:rsid w:val="4B1D2688"/>
    <w:rsid w:val="4B3612A5"/>
    <w:rsid w:val="4B7C54E2"/>
    <w:rsid w:val="4BB856C1"/>
    <w:rsid w:val="4BDD03B4"/>
    <w:rsid w:val="4BF94325"/>
    <w:rsid w:val="4C2555A1"/>
    <w:rsid w:val="4C8A74C0"/>
    <w:rsid w:val="4C8F5C62"/>
    <w:rsid w:val="4CB26F77"/>
    <w:rsid w:val="4CCD186E"/>
    <w:rsid w:val="4D40648B"/>
    <w:rsid w:val="4DAB5F7A"/>
    <w:rsid w:val="4DCF238A"/>
    <w:rsid w:val="4E4D0DDF"/>
    <w:rsid w:val="4F165675"/>
    <w:rsid w:val="4F1A3377"/>
    <w:rsid w:val="4F283CB4"/>
    <w:rsid w:val="4F2A553B"/>
    <w:rsid w:val="4F3F6884"/>
    <w:rsid w:val="4F885C1F"/>
    <w:rsid w:val="4FCC3F86"/>
    <w:rsid w:val="4FE537B2"/>
    <w:rsid w:val="4FE8630A"/>
    <w:rsid w:val="504A6E60"/>
    <w:rsid w:val="505B0E86"/>
    <w:rsid w:val="50EC2B72"/>
    <w:rsid w:val="511655B0"/>
    <w:rsid w:val="516306FA"/>
    <w:rsid w:val="516E1E1B"/>
    <w:rsid w:val="51703736"/>
    <w:rsid w:val="51B77244"/>
    <w:rsid w:val="51E51191"/>
    <w:rsid w:val="5206722D"/>
    <w:rsid w:val="525206D9"/>
    <w:rsid w:val="52635075"/>
    <w:rsid w:val="52762A77"/>
    <w:rsid w:val="52C54ED3"/>
    <w:rsid w:val="53414FAA"/>
    <w:rsid w:val="538639C1"/>
    <w:rsid w:val="54436F0C"/>
    <w:rsid w:val="54711580"/>
    <w:rsid w:val="54ED7B6F"/>
    <w:rsid w:val="555132EC"/>
    <w:rsid w:val="55935C72"/>
    <w:rsid w:val="55E56D44"/>
    <w:rsid w:val="565F4159"/>
    <w:rsid w:val="56BA722E"/>
    <w:rsid w:val="56F12761"/>
    <w:rsid w:val="57821E15"/>
    <w:rsid w:val="578366B2"/>
    <w:rsid w:val="57FE29BB"/>
    <w:rsid w:val="58111688"/>
    <w:rsid w:val="582F3781"/>
    <w:rsid w:val="58F548D5"/>
    <w:rsid w:val="590D5D3B"/>
    <w:rsid w:val="59584938"/>
    <w:rsid w:val="597E61C3"/>
    <w:rsid w:val="59882C05"/>
    <w:rsid w:val="59AA3524"/>
    <w:rsid w:val="5A1323F2"/>
    <w:rsid w:val="5A4F7393"/>
    <w:rsid w:val="5A911D68"/>
    <w:rsid w:val="5ABF7DE2"/>
    <w:rsid w:val="5B07285D"/>
    <w:rsid w:val="5B3A6B8F"/>
    <w:rsid w:val="5B482A95"/>
    <w:rsid w:val="5B5E287E"/>
    <w:rsid w:val="5B661732"/>
    <w:rsid w:val="5B7C71A8"/>
    <w:rsid w:val="5BB46942"/>
    <w:rsid w:val="5BB66216"/>
    <w:rsid w:val="5BDC19F5"/>
    <w:rsid w:val="5BFF6736"/>
    <w:rsid w:val="5C480E38"/>
    <w:rsid w:val="5C4A6C14"/>
    <w:rsid w:val="5C702869"/>
    <w:rsid w:val="5D3659DD"/>
    <w:rsid w:val="5D6A4BD0"/>
    <w:rsid w:val="5D7E539D"/>
    <w:rsid w:val="5DB674CE"/>
    <w:rsid w:val="5E0A7399"/>
    <w:rsid w:val="5FBE36D4"/>
    <w:rsid w:val="5FC15189"/>
    <w:rsid w:val="5FC609F2"/>
    <w:rsid w:val="5FD62369"/>
    <w:rsid w:val="60341DFF"/>
    <w:rsid w:val="60A26C20"/>
    <w:rsid w:val="60BC3363"/>
    <w:rsid w:val="60EC26DA"/>
    <w:rsid w:val="613A1697"/>
    <w:rsid w:val="6181475A"/>
    <w:rsid w:val="61A46B11"/>
    <w:rsid w:val="62944DD7"/>
    <w:rsid w:val="629574EE"/>
    <w:rsid w:val="62AE705A"/>
    <w:rsid w:val="630C7063"/>
    <w:rsid w:val="633D546F"/>
    <w:rsid w:val="63424833"/>
    <w:rsid w:val="643423CE"/>
    <w:rsid w:val="64423164"/>
    <w:rsid w:val="645A795A"/>
    <w:rsid w:val="65984FAC"/>
    <w:rsid w:val="65A36D1C"/>
    <w:rsid w:val="65B53D15"/>
    <w:rsid w:val="65FD312E"/>
    <w:rsid w:val="669C425A"/>
    <w:rsid w:val="66A441AA"/>
    <w:rsid w:val="66CD6208"/>
    <w:rsid w:val="66F379D0"/>
    <w:rsid w:val="672E57FA"/>
    <w:rsid w:val="6761234C"/>
    <w:rsid w:val="67EE6D37"/>
    <w:rsid w:val="68394457"/>
    <w:rsid w:val="683A1F7D"/>
    <w:rsid w:val="68692862"/>
    <w:rsid w:val="68A004D4"/>
    <w:rsid w:val="68B430BE"/>
    <w:rsid w:val="68FC7232"/>
    <w:rsid w:val="690E575F"/>
    <w:rsid w:val="69791A65"/>
    <w:rsid w:val="69E46644"/>
    <w:rsid w:val="6A3D535A"/>
    <w:rsid w:val="6AC4260D"/>
    <w:rsid w:val="6AF97ECD"/>
    <w:rsid w:val="6B19056F"/>
    <w:rsid w:val="6B361121"/>
    <w:rsid w:val="6BA92E11"/>
    <w:rsid w:val="6CD94028"/>
    <w:rsid w:val="6CDA3D2E"/>
    <w:rsid w:val="6D60345E"/>
    <w:rsid w:val="6D8532DC"/>
    <w:rsid w:val="6F3B11A5"/>
    <w:rsid w:val="707367E6"/>
    <w:rsid w:val="70781C89"/>
    <w:rsid w:val="70FC0717"/>
    <w:rsid w:val="71306613"/>
    <w:rsid w:val="713B1183"/>
    <w:rsid w:val="71653CD2"/>
    <w:rsid w:val="71A46D2F"/>
    <w:rsid w:val="71FB7940"/>
    <w:rsid w:val="72075A18"/>
    <w:rsid w:val="72440D8F"/>
    <w:rsid w:val="724E4FA2"/>
    <w:rsid w:val="725B2B9B"/>
    <w:rsid w:val="726C3F2C"/>
    <w:rsid w:val="72AF47AB"/>
    <w:rsid w:val="72B93E6C"/>
    <w:rsid w:val="72BD7A32"/>
    <w:rsid w:val="7304711D"/>
    <w:rsid w:val="732E26DE"/>
    <w:rsid w:val="733F66C2"/>
    <w:rsid w:val="735E5E4B"/>
    <w:rsid w:val="74DA6AB9"/>
    <w:rsid w:val="74E547C4"/>
    <w:rsid w:val="751A5610"/>
    <w:rsid w:val="756679EC"/>
    <w:rsid w:val="75AD3D8E"/>
    <w:rsid w:val="75DE488F"/>
    <w:rsid w:val="75F70C54"/>
    <w:rsid w:val="75FF3A13"/>
    <w:rsid w:val="76176FE0"/>
    <w:rsid w:val="76624793"/>
    <w:rsid w:val="76674885"/>
    <w:rsid w:val="76E41A31"/>
    <w:rsid w:val="76EA4626"/>
    <w:rsid w:val="774353DC"/>
    <w:rsid w:val="77FC86BF"/>
    <w:rsid w:val="784C3D32"/>
    <w:rsid w:val="784F4642"/>
    <w:rsid w:val="785E4C0A"/>
    <w:rsid w:val="788E41B8"/>
    <w:rsid w:val="78961451"/>
    <w:rsid w:val="792B7DEB"/>
    <w:rsid w:val="7940545D"/>
    <w:rsid w:val="79D224E5"/>
    <w:rsid w:val="7A170370"/>
    <w:rsid w:val="7AD00CF9"/>
    <w:rsid w:val="7AD11493"/>
    <w:rsid w:val="7AF35A5A"/>
    <w:rsid w:val="7AFC2062"/>
    <w:rsid w:val="7B1E405D"/>
    <w:rsid w:val="7B7B1D2B"/>
    <w:rsid w:val="7BE424D4"/>
    <w:rsid w:val="7C013085"/>
    <w:rsid w:val="7C41592A"/>
    <w:rsid w:val="7C94028B"/>
    <w:rsid w:val="7CA25995"/>
    <w:rsid w:val="7CB65C1E"/>
    <w:rsid w:val="7CE25626"/>
    <w:rsid w:val="7D2B2F6F"/>
    <w:rsid w:val="7D3624B9"/>
    <w:rsid w:val="7D9830BE"/>
    <w:rsid w:val="7F145096"/>
    <w:rsid w:val="7F2350C1"/>
    <w:rsid w:val="7F323C2B"/>
    <w:rsid w:val="FBBEA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character" w:styleId="7">
    <w:name w:val="Hyperlink"/>
    <w:basedOn w:val="6"/>
    <w:qFormat/>
    <w:uiPriority w:val="0"/>
    <w:rPr>
      <w:color w:val="0563C1" w:themeColor="hyperlink"/>
      <w:u w:val="single"/>
      <w14:textFill>
        <w14:solidFill>
          <w14:schemeClr w14:val="hlink"/>
        </w14:solidFill>
      </w14:textFill>
    </w:rPr>
  </w:style>
  <w:style w:type="paragraph" w:customStyle="1" w:styleId="8">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780</Words>
  <Characters>831</Characters>
  <Lines>40</Lines>
  <Paragraphs>11</Paragraphs>
  <TotalTime>18</TotalTime>
  <ScaleCrop>false</ScaleCrop>
  <LinksUpToDate>false</LinksUpToDate>
  <CharactersWithSpaces>891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2023-07-11T14:52:00Z</dcterms:created>
  <dc:creator>H</dc:creator>
  <cp:lastModifiedBy>吴小林</cp:lastModifiedBy>
  <dcterms:modified xsi:type="dcterms:W3CDTF">2024-10-24T08:32:55Z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2930B3E2624845C98B9D7642B34B732F_12</vt:lpwstr>
  </property>
</Properties>
</file>